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Batang" w:cs="Times New Roman"/>
          <w:b/>
          <w:bCs/>
          <w:sz w:val="28"/>
          <w:lang w:val="en-US" w:eastAsia="en-US"/>
        </w:rPr>
      </w:pPr>
      <w:r>
        <w:rPr>
          <w:rFonts w:ascii="Times New Roman" w:hAnsi="Times New Roman" w:eastAsia="Batang" w:cs="Times New Roman"/>
          <w:b/>
          <w:bCs/>
          <w:sz w:val="28"/>
          <w:lang w:eastAsia="en-US"/>
        </w:rPr>
        <w:t>3GPP TSG RAN WG1 #111</w:t>
      </w:r>
      <w:r>
        <w:rPr>
          <w:rFonts w:ascii="Times New Roman" w:hAnsi="Times New Roman" w:eastAsia="Batang" w:cs="Times New Roman"/>
          <w:b/>
          <w:bCs/>
          <w:sz w:val="28"/>
          <w:lang w:eastAsia="en-US"/>
        </w:rPr>
        <w:tab/>
      </w:r>
      <w:r>
        <w:rPr>
          <w:rFonts w:ascii="Times New Roman" w:hAnsi="Times New Roman" w:eastAsia="Batang" w:cs="Times New Roman"/>
          <w:b/>
          <w:bCs/>
          <w:sz w:val="28"/>
          <w:lang w:eastAsia="en-US"/>
        </w:rPr>
        <w:tab/>
      </w:r>
      <w:r>
        <w:rPr>
          <w:rFonts w:ascii="Times New Roman" w:hAnsi="Times New Roman" w:eastAsia="Batang" w:cs="Times New Roman"/>
          <w:b/>
          <w:bCs/>
          <w:sz w:val="28"/>
          <w:lang w:eastAsia="en-US"/>
        </w:rPr>
        <w:t xml:space="preserve">                                </w:t>
      </w:r>
      <w:r>
        <w:rPr>
          <w:rFonts w:hint="default" w:ascii="Times New Roman" w:hAnsi="Times New Roman" w:eastAsia="Batang" w:cs="Times New Roman"/>
          <w:b/>
          <w:bCs/>
          <w:sz w:val="28"/>
          <w:lang w:val="en-US" w:eastAsia="en-US"/>
        </w:rPr>
        <w:t xml:space="preserve">   </w:t>
      </w:r>
      <w:r>
        <w:rPr>
          <w:rFonts w:ascii="Times New Roman" w:hAnsi="Times New Roman" w:eastAsia="Batang" w:cs="Times New Roman"/>
          <w:b/>
          <w:bCs/>
          <w:sz w:val="28"/>
          <w:lang w:eastAsia="en-US"/>
        </w:rPr>
        <w:t>R1-221</w:t>
      </w:r>
      <w:r>
        <w:rPr>
          <w:rFonts w:hint="default" w:ascii="Times New Roman" w:hAnsi="Times New Roman" w:eastAsia="Batang" w:cs="Times New Roman"/>
          <w:b/>
          <w:bCs/>
          <w:sz w:val="28"/>
          <w:lang w:val="en-US" w:eastAsia="en-US"/>
        </w:rPr>
        <w:t>1699</w:t>
      </w:r>
    </w:p>
    <w:p>
      <w:pPr>
        <w:pStyle w:val="125"/>
        <w:spacing w:before="120" w:after="120"/>
        <w:rPr>
          <w:rFonts w:ascii="Times New Roman" w:hAnsi="Times New Roman"/>
          <w:bCs/>
          <w:sz w:val="28"/>
          <w:szCs w:val="24"/>
          <w:lang w:eastAsia="en-US"/>
        </w:rPr>
      </w:pPr>
      <w:bookmarkStart w:id="0" w:name="OLE_LINK4"/>
      <w:bookmarkStart w:id="1" w:name="OLE_LINK3"/>
      <w:r>
        <w:rPr>
          <w:rFonts w:ascii="Times New Roman" w:hAnsi="Times New Roman"/>
          <w:bCs/>
          <w:sz w:val="28"/>
          <w:szCs w:val="24"/>
          <w:lang w:eastAsia="en-US"/>
        </w:rPr>
        <w:t>Toulouse, France, November 14</w:t>
      </w:r>
      <w:r>
        <w:rPr>
          <w:rFonts w:ascii="Times New Roman" w:hAnsi="Times New Roman"/>
          <w:bCs/>
          <w:sz w:val="28"/>
          <w:szCs w:val="24"/>
          <w:vertAlign w:val="superscript"/>
          <w:lang w:eastAsia="en-US"/>
        </w:rPr>
        <w:t>th</w:t>
      </w:r>
      <w:r>
        <w:rPr>
          <w:rFonts w:ascii="Times New Roman" w:hAnsi="Times New Roman"/>
          <w:bCs/>
          <w:sz w:val="28"/>
          <w:szCs w:val="24"/>
          <w:lang w:val="en-US" w:eastAsia="en-US"/>
        </w:rPr>
        <w:t xml:space="preserve"> </w:t>
      </w:r>
      <w:r>
        <w:rPr>
          <w:rFonts w:ascii="Times New Roman" w:hAnsi="Times New Roman"/>
          <w:bCs/>
          <w:sz w:val="28"/>
          <w:szCs w:val="24"/>
          <w:lang w:eastAsia="en-US"/>
        </w:rPr>
        <w:t>– 18</w:t>
      </w:r>
      <w:r>
        <w:rPr>
          <w:rFonts w:ascii="Times New Roman" w:hAnsi="Times New Roman"/>
          <w:bCs/>
          <w:sz w:val="28"/>
          <w:szCs w:val="24"/>
          <w:vertAlign w:val="superscript"/>
          <w:lang w:eastAsia="en-US"/>
        </w:rPr>
        <w:t>th</w:t>
      </w:r>
      <w:r>
        <w:rPr>
          <w:rFonts w:ascii="Times New Roman" w:hAnsi="Times New Roman"/>
          <w:bCs/>
          <w:sz w:val="28"/>
          <w:szCs w:val="24"/>
          <w:lang w:eastAsia="en-US"/>
        </w:rPr>
        <w:t>, 2022</w:t>
      </w:r>
    </w:p>
    <w:p>
      <w:pPr>
        <w:pStyle w:val="125"/>
        <w:spacing w:before="120" w:after="120"/>
        <w:rPr>
          <w:rFonts w:ascii="Times New Roman" w:hAnsi="Times New Roman"/>
          <w:bCs/>
          <w:sz w:val="28"/>
          <w:szCs w:val="24"/>
          <w:lang w:val="en-US" w:eastAsia="en-US"/>
        </w:rPr>
      </w:pPr>
    </w:p>
    <w:p>
      <w:pPr>
        <w:pStyle w:val="125"/>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coverage enhancement for NR NTN</w:t>
      </w:r>
    </w:p>
    <w:p>
      <w:pPr>
        <w:pStyle w:val="125"/>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9.11</w:t>
      </w:r>
      <w:r>
        <w:rPr>
          <w:rFonts w:ascii="Times New Roman" w:hAnsi="Times New Roman"/>
          <w:sz w:val="24"/>
          <w:szCs w:val="24"/>
        </w:rPr>
        <w:t>.</w:t>
      </w:r>
      <w:r>
        <w:rPr>
          <w:rFonts w:ascii="Times New Roman" w:hAnsi="Times New Roman"/>
          <w:sz w:val="24"/>
          <w:szCs w:val="24"/>
          <w:lang w:val="en-US"/>
        </w:rPr>
        <w:t>1</w:t>
      </w:r>
    </w:p>
    <w:p>
      <w:pPr>
        <w:pStyle w:val="125"/>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p>
      <w:pPr>
        <w:pStyle w:val="2"/>
        <w:keepLines/>
        <w:numPr>
          <w:ilvl w:val="0"/>
          <w:numId w:val="10"/>
        </w:numPr>
        <w:pBdr>
          <w:top w:val="single" w:color="auto" w:sz="12" w:space="3"/>
        </w:pBdr>
        <w:spacing w:before="240" w:beforeLines="0" w:after="180" w:afterLines="0"/>
        <w:ind w:left="0" w:firstLine="0"/>
        <w:rPr>
          <w:rFonts w:ascii="Times New Roman" w:hAnsi="Times New Roman" w:eastAsia="宋体"/>
          <w:kern w:val="32"/>
          <w:sz w:val="32"/>
          <w:szCs w:val="32"/>
          <w:lang w:val="en-GB"/>
        </w:rPr>
      </w:pPr>
      <w:bookmarkStart w:id="3" w:name="_Toc120549591"/>
      <w:r>
        <w:rPr>
          <w:rFonts w:ascii="Times New Roman" w:hAnsi="Times New Roman" w:eastAsia="宋体"/>
          <w:kern w:val="32"/>
          <w:sz w:val="32"/>
          <w:szCs w:val="32"/>
          <w:lang w:val="en-GB"/>
        </w:rPr>
        <w:t>Introduction</w:t>
      </w:r>
      <w:bookmarkEnd w:id="3"/>
    </w:p>
    <w:bookmarkEnd w:id="0"/>
    <w:bookmarkEnd w:id="1"/>
    <w:p>
      <w:pPr>
        <w:spacing w:before="120" w:beforeLines="50" w:after="120" w:afterLines="50"/>
        <w:rPr>
          <w:rFonts w:ascii="Times New Roman" w:hAnsi="Times New Roman" w:cs="Times New Roman"/>
          <w:sz w:val="20"/>
          <w:szCs w:val="20"/>
        </w:rPr>
      </w:pPr>
      <w:bookmarkStart w:id="4" w:name="_Hlk521259925"/>
      <w:r>
        <w:rPr>
          <w:rFonts w:ascii="Times New Roman" w:hAnsi="Times New Roman" w:cs="Times New Roman"/>
          <w:sz w:val="20"/>
          <w:szCs w:val="20"/>
        </w:rPr>
        <w:t xml:space="preserve">During RAN#94-e and RAN#95-e meeting, </w:t>
      </w:r>
      <w:r>
        <w:rPr>
          <w:rFonts w:hint="eastAsia" w:ascii="Times New Roman" w:hAnsi="Times New Roman" w:cs="Times New Roman"/>
          <w:sz w:val="20"/>
          <w:szCs w:val="20"/>
        </w:rPr>
        <w:t xml:space="preserve">a new work item is proposed to define further enhancements for </w:t>
      </w:r>
      <w:r>
        <w:rPr>
          <w:rFonts w:ascii="Times New Roman" w:hAnsi="Times New Roman" w:cs="Times New Roman"/>
          <w:sz w:val="20"/>
          <w:szCs w:val="20"/>
        </w:rPr>
        <w:t xml:space="preserve">NR NTN, which was revised in RAN#97 meeting according to the RAN1 observation and evaluation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The justification and objectives that the work item focuses on are listed as follows.</w:t>
      </w:r>
    </w:p>
    <w:tbl>
      <w:tblPr>
        <w:tblStyle w:val="4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1" w:type="dxa"/>
          </w:tcPr>
          <w:p>
            <w:pPr>
              <w:spacing w:before="120" w:beforeLines="50" w:after="120" w:afterLines="50"/>
              <w:rPr>
                <w:rFonts w:ascii="Times New Roman" w:hAnsi="Times New Roman" w:eastAsia="MS Mincho" w:cs="Times New Roman"/>
                <w:b/>
                <w:bCs/>
                <w:kern w:val="0"/>
                <w:sz w:val="20"/>
                <w:szCs w:val="20"/>
                <w:lang w:eastAsia="en-US"/>
              </w:rPr>
            </w:pPr>
            <w:r>
              <w:rPr>
                <w:rFonts w:ascii="Times New Roman" w:hAnsi="Times New Roman" w:eastAsia="MS Mincho" w:cs="Times New Roman"/>
                <w:b/>
                <w:bCs/>
                <w:kern w:val="0"/>
                <w:sz w:val="20"/>
                <w:szCs w:val="20"/>
                <w:lang w:eastAsia="en-US"/>
              </w:rPr>
              <w:t>Justification</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In Release 17, a work item was carried out to define solutions enabling New Radio and NG-RAN to support Non-Terrestrial Networks (NTN):</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Transparent payload based GSO and NGSO network scenarios addressing at least 3GPP power class 3 UE with GNSS capability in both Earth fixed and/or moving cell configurations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As part of Release 18, a new work item is proposed to define enhancements for NG-RAN based Non-Terrestrial Networks in order to:</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Support new scenarios to cover deployments in frequency bands above 10 GHz</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considering the NTN characteristics such as large propagation delay and satellite movement.</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Provide mobility and service continuity enhancements considering the NTN characteristics such as large propagation delay and satellite movement.</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Address requirements, if needed based on the FS_NR_NTN_netw_verif_UE_loc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pPr>
              <w:rPr>
                <w:rFonts w:ascii="Times New Roman" w:hAnsi="Times New Roman" w:eastAsia="MS Mincho" w:cs="Times New Roman"/>
                <w:kern w:val="0"/>
                <w:sz w:val="20"/>
                <w:szCs w:val="20"/>
                <w:lang w:eastAsia="en-US"/>
              </w:rPr>
            </w:pPr>
            <w:r>
              <w:rPr>
                <w:rFonts w:ascii="Times New Roman" w:hAnsi="Times New Roman" w:eastAsia="MS Mincho" w:cs="Times New Roman"/>
                <w:b/>
                <w:bCs/>
                <w:kern w:val="0"/>
                <w:sz w:val="20"/>
                <w:szCs w:val="20"/>
                <w:lang w:eastAsia="en-US"/>
              </w:rPr>
              <w:t>Objective</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work item aims at specifying enhancements for NG-RAN based NTN (non-terrestrial networks) according to the following assumptions with implicit compatibility to support HAPS (high altitude platform station) and ATG (air to ground) scenarios:</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GSO and NGSO (LEO and MEO) with transparent payload.</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Earth fixed tracking area. Earth fixed &amp; Earth moving cells for NGSO</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FDD mode</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UEs with GNSS capabilities</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Both “VSAT” devices with directive antenna (including fixed and moving platform mounted devices and commercial handset terminals (e.g. Power class 3) are supported in FR1</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Only “VSAT” devices with directive antenna (including fixed and moving platform mounted devices) are supported in above 10 GHz bands.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1: In Rel-17 WID, “VSAT” device with external antenna on moving platform is equivalent to a device that operate on platforms in motion, and this is referred to as ESIM (Earth Station In Motion).</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2: The Rel-17 NTN architecture is assumed.</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first objective is to study the coverage enhancement to NTN, including: </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following sentence will be revisited in RAN#99 as part of the DL enhancements discussion:</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evaluation should also take into account any related regulatory requirements, e.g., ITU limitation of power flux density.” No work on this topic will take place in RAN WGs before the discussion on DL enhancements in RAN#99.</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It is understood that the enhancements defined for LEO can also apply to GEO and MEO scenarios as appropriate. No additional work is expected for MEO/GEO.</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targeted services are VoIP using AMR 4.75 kbps and data transmission services with Low data rate of 3 kbps.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detailed objectives are for NTN:</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To specify PUCCH enhancements for Msg4 HARQ-ACK (e.g. repetition) [RAN1, RAN4]</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To study DMRS bundling for PUSCH taking into account NTN-specifics (e.g. time-frequency pre-compensation) and, if necessary, specify enhancements to the Rel-17 procedures [RAN1]</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Have a 1-TU 6-month study phase focusing on the following (to derive clear &amp; limited scope):</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pPr>
              <w:widowControl/>
              <w:numPr>
                <w:ilvl w:val="0"/>
                <w:numId w:val="12"/>
              </w:numPr>
              <w:spacing w:before="120" w:beforeLines="50" w:after="120" w:afterLines="50"/>
              <w:ind w:left="720" w:leftChars="3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VoIP and low-data rate services for commercial handset terminals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following items are shown as examples of areas to consider in the RAN2 study.</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Improved performance of low-rate codecs in link budget limited situation including reducing RAN protocol overhead for VoNR</w:t>
            </w:r>
          </w:p>
          <w:p>
            <w:pPr>
              <w:widowControl/>
              <w:numPr>
                <w:ilvl w:val="0"/>
                <w:numId w:val="12"/>
              </w:numPr>
              <w:spacing w:before="120" w:beforeLines="50" w:after="120" w:afterLines="50"/>
              <w:ind w:left="720" w:leftChars="3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Intent is not to introduce a new codec.</w:t>
            </w:r>
          </w:p>
          <w:p>
            <w:pPr>
              <w:widowControl/>
              <w:spacing w:before="120" w:beforeLines="50" w:after="120" w:afterLines="50"/>
              <w:rPr>
                <w:rFonts w:ascii="Times New Roman" w:hAnsi="Times New Roman" w:eastAsia="MS Mincho" w:cs="Times New Roman"/>
                <w:kern w:val="0"/>
                <w:sz w:val="20"/>
                <w:szCs w:val="20"/>
                <w:lang w:eastAsia="en-US"/>
              </w:rPr>
            </w:pP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RAN to determine by RAN#97 (for RAN1 items) and RAN#98 (for RAN2 items) whether the study phase has identified any need for NTN-specific coverage enhancements in Rel-18. If needed, the set of NTN-specific work item objectives will be further updated.</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During last RAN1 meeting, the framework and baseline issues </w:t>
      </w:r>
      <w:r>
        <w:rPr>
          <w:rFonts w:hint="eastAsia" w:ascii="Times New Roman" w:hAnsi="Times New Roman" w:cs="Times New Roman"/>
          <w:bCs/>
          <w:iCs/>
          <w:sz w:val="20"/>
          <w:szCs w:val="20"/>
        </w:rPr>
        <w:t xml:space="preserve">on coverage enhancement </w:t>
      </w:r>
      <w:r>
        <w:rPr>
          <w:rFonts w:ascii="Times New Roman" w:hAnsi="Times New Roman" w:cs="Times New Roman"/>
          <w:bCs/>
          <w:iCs/>
          <w:sz w:val="20"/>
          <w:szCs w:val="20"/>
        </w:rPr>
        <w:t>schemes for</w:t>
      </w:r>
      <w:r>
        <w:rPr>
          <w:rFonts w:hint="eastAsia" w:ascii="Times New Roman" w:hAnsi="Times New Roman" w:cs="Times New Roman"/>
          <w:bCs/>
          <w:iCs/>
          <w:sz w:val="20"/>
          <w:szCs w:val="20"/>
        </w:rPr>
        <w:t xml:space="preserve"> NTN scenarios</w:t>
      </w:r>
      <w:r>
        <w:rPr>
          <w:rFonts w:ascii="Times New Roman" w:hAnsi="Times New Roman" w:cs="Times New Roman"/>
          <w:bCs/>
          <w:iCs/>
          <w:sz w:val="20"/>
          <w:szCs w:val="20"/>
        </w:rPr>
        <w:t xml:space="preserve"> were achieved [2]. </w:t>
      </w:r>
      <w:r>
        <w:rPr>
          <w:rFonts w:hint="eastAsia" w:ascii="Times New Roman" w:hAnsi="Times New Roman" w:cs="Times New Roman"/>
          <w:bCs/>
          <w:iCs/>
          <w:sz w:val="20"/>
          <w:szCs w:val="20"/>
        </w:rPr>
        <w:t xml:space="preserve">In this contribution, we will </w:t>
      </w:r>
      <w:r>
        <w:rPr>
          <w:rFonts w:ascii="Times New Roman" w:hAnsi="Times New Roman" w:cs="Times New Roman"/>
          <w:bCs/>
          <w:iCs/>
          <w:sz w:val="20"/>
          <w:szCs w:val="20"/>
        </w:rPr>
        <w:t xml:space="preserve">further study and </w:t>
      </w:r>
      <w:r>
        <w:rPr>
          <w:rFonts w:hint="eastAsia" w:ascii="Times New Roman" w:hAnsi="Times New Roman" w:cs="Times New Roman"/>
          <w:bCs/>
          <w:iCs/>
          <w:sz w:val="20"/>
          <w:szCs w:val="20"/>
        </w:rPr>
        <w:t xml:space="preserve">share our views on </w:t>
      </w:r>
      <w:r>
        <w:rPr>
          <w:rFonts w:ascii="Times New Roman" w:hAnsi="Times New Roman" w:cs="Times New Roman"/>
          <w:bCs/>
          <w:iCs/>
          <w:sz w:val="20"/>
          <w:szCs w:val="20"/>
        </w:rPr>
        <w:t xml:space="preserve">the detailed </w:t>
      </w:r>
      <w:r>
        <w:rPr>
          <w:rFonts w:hint="eastAsia" w:ascii="Times New Roman" w:hAnsi="Times New Roman" w:cs="Times New Roman"/>
          <w:bCs/>
          <w:iCs/>
          <w:sz w:val="20"/>
          <w:szCs w:val="20"/>
        </w:rPr>
        <w:t xml:space="preserve">coverage enhancement </w:t>
      </w:r>
      <w:r>
        <w:rPr>
          <w:rFonts w:ascii="Times New Roman" w:hAnsi="Times New Roman" w:cs="Times New Roman"/>
          <w:bCs/>
          <w:iCs/>
          <w:sz w:val="20"/>
          <w:szCs w:val="20"/>
        </w:rPr>
        <w:t>schemes for</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PUCCH enhancements for Msg4 HARQ-ACK and consideration of DMRS bundling in NTN</w:t>
      </w:r>
      <w:r>
        <w:rPr>
          <w:rFonts w:hint="eastAsia" w:ascii="Times New Roman" w:hAnsi="Times New Roman" w:cs="Times New Roman"/>
          <w:bCs/>
          <w:iCs/>
          <w:sz w:val="20"/>
          <w:szCs w:val="20"/>
        </w:rPr>
        <w:t>.</w:t>
      </w:r>
    </w:p>
    <w:p>
      <w:pPr>
        <w:pStyle w:val="2"/>
        <w:keepLines/>
        <w:numPr>
          <w:ilvl w:val="0"/>
          <w:numId w:val="10"/>
        </w:numPr>
        <w:pBdr>
          <w:top w:val="single" w:color="auto" w:sz="12" w:space="3"/>
        </w:pBdr>
        <w:spacing w:before="240" w:beforeLines="0" w:after="180" w:afterLines="0"/>
        <w:ind w:left="0" w:firstLine="0"/>
        <w:jc w:val="both"/>
        <w:rPr>
          <w:rFonts w:ascii="Times New Roman" w:hAnsi="Times New Roman" w:eastAsiaTheme="minorEastAsia"/>
          <w:kern w:val="32"/>
          <w:sz w:val="32"/>
          <w:szCs w:val="32"/>
          <w:lang w:val="en-GB" w:eastAsia="zh-CN"/>
        </w:rPr>
      </w:pPr>
      <w:r>
        <w:rPr>
          <w:rFonts w:hint="eastAsia" w:ascii="Times New Roman" w:hAnsi="Times New Roman" w:eastAsiaTheme="minorEastAsia"/>
          <w:kern w:val="32"/>
          <w:sz w:val="32"/>
          <w:szCs w:val="32"/>
          <w:lang w:val="en-GB" w:eastAsia="zh-CN"/>
        </w:rPr>
        <w:t>D</w:t>
      </w:r>
      <w:r>
        <w:rPr>
          <w:rFonts w:ascii="Times New Roman" w:hAnsi="Times New Roman" w:eastAsiaTheme="minorEastAsia"/>
          <w:kern w:val="32"/>
          <w:sz w:val="32"/>
          <w:szCs w:val="32"/>
          <w:lang w:val="en-GB" w:eastAsia="zh-CN"/>
        </w:rPr>
        <w:t>iscussion</w:t>
      </w:r>
    </w:p>
    <w:p>
      <w:pPr>
        <w:pStyle w:val="3"/>
        <w:numPr>
          <w:ilvl w:val="1"/>
          <w:numId w:val="0"/>
        </w:numPr>
        <w:spacing w:before="120" w:after="120"/>
        <w:rPr>
          <w:b/>
          <w:bCs/>
          <w:sz w:val="24"/>
          <w:szCs w:val="32"/>
        </w:rPr>
      </w:pPr>
      <w:r>
        <w:rPr>
          <w:b/>
          <w:bCs/>
          <w:sz w:val="24"/>
          <w:szCs w:val="32"/>
        </w:rPr>
        <w:t xml:space="preserve">2.1 </w:t>
      </w:r>
      <w:r>
        <w:rPr>
          <w:rFonts w:hint="eastAsia"/>
          <w:b/>
          <w:bCs/>
          <w:sz w:val="24"/>
          <w:szCs w:val="32"/>
        </w:rPr>
        <w:t>PUCCH enhancement for Msg4 HARQ-ACK</w:t>
      </w:r>
    </w:p>
    <w:p>
      <w:pPr>
        <w:spacing w:before="120" w:beforeLines="50" w:after="120" w:afterLines="50"/>
        <w:rPr>
          <w:rFonts w:ascii="Times New Roman" w:hAnsi="Times New Roman" w:cs="Times New Roman"/>
          <w:sz w:val="20"/>
          <w:szCs w:val="20"/>
        </w:rPr>
      </w:pPr>
      <w:r>
        <w:rPr>
          <w:rFonts w:ascii="Times New Roman" w:hAnsi="Times New Roman" w:cs="Times New Roman"/>
          <w:bCs/>
          <w:iCs/>
          <w:sz w:val="20"/>
          <w:szCs w:val="20"/>
        </w:rPr>
        <w:t xml:space="preserve">The enhancement scheme of </w:t>
      </w:r>
      <w:r>
        <w:rPr>
          <w:rFonts w:ascii="Times" w:hAnsi="Times" w:eastAsia="Batang"/>
          <w:sz w:val="20"/>
          <w:szCs w:val="18"/>
          <w:lang w:eastAsia="en-US"/>
        </w:rPr>
        <w:t xml:space="preserve">PUCCH repetition </w:t>
      </w:r>
      <w:r>
        <w:rPr>
          <w:rFonts w:ascii="Times" w:hAnsi="Times" w:eastAsia="宋体"/>
          <w:sz w:val="20"/>
          <w:lang w:eastAsia="en-US"/>
        </w:rPr>
        <w:t>for Msg4 HARQ-ACK is supported a</w:t>
      </w:r>
      <w:r>
        <w:rPr>
          <w:rFonts w:ascii="Times New Roman" w:hAnsi="Times New Roman" w:cs="Times New Roman"/>
          <w:bCs/>
          <w:iCs/>
          <w:sz w:val="20"/>
          <w:szCs w:val="20"/>
        </w:rPr>
        <w:t>ccording to the previous RAN1 meeting. The corresponding conclusion of PUCCH repetition procedure for Msg4 HARQ-ACK in NTN scenario is shown as below [2].</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宋体" w:cs="Times New Roman"/>
                <w:sz w:val="20"/>
                <w:szCs w:val="20"/>
                <w:lang w:eastAsia="en-US"/>
              </w:rPr>
            </w:pPr>
            <w:r>
              <w:rPr>
                <w:rFonts w:ascii="Times New Roman" w:hAnsi="Times New Roman" w:eastAsia="MS Mincho" w:cs="Times New Roman"/>
                <w:sz w:val="20"/>
                <w:szCs w:val="20"/>
                <w:lang w:eastAsia="en-US"/>
              </w:rPr>
              <w:t xml:space="preserve">For </w:t>
            </w:r>
            <w:r>
              <w:rPr>
                <w:rFonts w:ascii="Times New Roman" w:hAnsi="Times New Roman" w:eastAsia="宋体" w:cs="Times New Roman"/>
                <w:sz w:val="20"/>
                <w:szCs w:val="20"/>
                <w:lang w:eastAsia="en-US"/>
              </w:rPr>
              <w:t>PUCCH repetition for Msg4 HARQ-ACK,</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ind w:left="720"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Discuss the following options of procedure to perform repetitions</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ind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Option 1: UE always performs repetition if configured in cell-specific manner</w:t>
            </w:r>
          </w:p>
          <w:p>
            <w:pPr>
              <w:keepNext w:val="0"/>
              <w:keepLines w:val="0"/>
              <w:pageBreakBefore w:val="0"/>
              <w:widowControl w:val="0"/>
              <w:numPr>
                <w:ilvl w:val="2"/>
                <w:numId w:val="13"/>
              </w:numPr>
              <w:kinsoku/>
              <w:wordWrap/>
              <w:overflowPunct/>
              <w:topLinePunct w:val="0"/>
              <w:autoSpaceDE/>
              <w:autoSpaceDN/>
              <w:bidi w:val="0"/>
              <w:adjustRightInd/>
              <w:snapToGrid w:val="0"/>
              <w:spacing w:before="0" w:beforeLines="50"/>
              <w:ind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details of cell-specific configuration</w:t>
            </w:r>
          </w:p>
          <w:p>
            <w:pPr>
              <w:keepNext w:val="0"/>
              <w:keepLines w:val="0"/>
              <w:pageBreakBefore w:val="0"/>
              <w:widowControl w:val="0"/>
              <w:numPr>
                <w:ilvl w:val="2"/>
                <w:numId w:val="13"/>
              </w:numPr>
              <w:kinsoku/>
              <w:wordWrap/>
              <w:overflowPunct/>
              <w:topLinePunct w:val="0"/>
              <w:autoSpaceDE/>
              <w:autoSpaceDN/>
              <w:bidi w:val="0"/>
              <w:adjustRightInd/>
              <w:snapToGrid w:val="0"/>
              <w:spacing w:before="0" w:beforeLines="50"/>
              <w:ind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behavior of UE being incapable of repetition</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ind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Option 2: UE requests repetition and is dynamically indicated to perform repetition</w:t>
            </w:r>
          </w:p>
          <w:p>
            <w:pPr>
              <w:keepNext w:val="0"/>
              <w:keepLines w:val="0"/>
              <w:pageBreakBefore w:val="0"/>
              <w:widowControl w:val="0"/>
              <w:numPr>
                <w:ilvl w:val="2"/>
                <w:numId w:val="13"/>
              </w:numPr>
              <w:kinsoku/>
              <w:wordWrap/>
              <w:overflowPunct/>
              <w:topLinePunct w:val="0"/>
              <w:autoSpaceDE/>
              <w:autoSpaceDN/>
              <w:bidi w:val="0"/>
              <w:adjustRightInd/>
              <w:snapToGrid w:val="0"/>
              <w:spacing w:before="0" w:beforeLines="50"/>
              <w:ind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details of repetition request</w:t>
            </w:r>
          </w:p>
          <w:p>
            <w:pPr>
              <w:keepNext w:val="0"/>
              <w:keepLines w:val="0"/>
              <w:pageBreakBefore w:val="0"/>
              <w:widowControl w:val="0"/>
              <w:numPr>
                <w:ilvl w:val="2"/>
                <w:numId w:val="13"/>
              </w:numPr>
              <w:kinsoku/>
              <w:wordWrap/>
              <w:overflowPunct/>
              <w:topLinePunct w:val="0"/>
              <w:autoSpaceDE/>
              <w:autoSpaceDN/>
              <w:bidi w:val="0"/>
              <w:adjustRightInd/>
              <w:snapToGrid w:val="0"/>
              <w:spacing w:before="0" w:beforeLines="50"/>
              <w:ind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details of configuration and dynamic repetition indication</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ind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Option 3: UE indicates repetition capability and is dynamically indicated to perform repetition</w:t>
            </w:r>
          </w:p>
          <w:p>
            <w:pPr>
              <w:keepNext w:val="0"/>
              <w:keepLines w:val="0"/>
              <w:pageBreakBefore w:val="0"/>
              <w:widowControl w:val="0"/>
              <w:numPr>
                <w:ilvl w:val="1"/>
                <w:numId w:val="13"/>
              </w:numPr>
              <w:kinsoku/>
              <w:wordWrap/>
              <w:overflowPunct/>
              <w:topLinePunct w:val="0"/>
              <w:autoSpaceDE/>
              <w:autoSpaceDN/>
              <w:bidi w:val="0"/>
              <w:adjustRightInd/>
              <w:snapToGrid w:val="0"/>
              <w:spacing w:before="0" w:beforeLines="50" w:after="120" w:afterLines="50"/>
              <w:ind w:left="1638"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How UE indicates repetition capability</w:t>
            </w:r>
            <w:r>
              <w:rPr>
                <w:rFonts w:ascii="Times New Roman" w:hAnsi="Times New Roman" w:eastAsia="宋体" w:cs="Times New Roman"/>
                <w:sz w:val="20"/>
                <w:szCs w:val="20"/>
                <w:lang w:eastAsia="en-US"/>
              </w:rPr>
              <w:t xml:space="preserve"> before Msg4</w:t>
            </w:r>
          </w:p>
        </w:tc>
      </w:tr>
    </w:tbl>
    <w:p>
      <w:pPr>
        <w:spacing w:before="120" w:beforeLines="50" w:after="120" w:afterLines="50"/>
        <w:rPr>
          <w:rFonts w:ascii="Times New Roman" w:hAnsi="Times New Roman" w:eastAsia="宋体" w:cs="Times New Roman"/>
          <w:bCs/>
          <w:kern w:val="0"/>
          <w:sz w:val="20"/>
          <w:szCs w:val="20"/>
          <w:highlight w:val="none"/>
        </w:rPr>
      </w:pPr>
      <w:r>
        <w:rPr>
          <w:rFonts w:hint="eastAsia" w:ascii="Times New Roman" w:hAnsi="Times New Roman" w:eastAsia="宋体" w:cs="Times New Roman"/>
          <w:bCs/>
          <w:kern w:val="0"/>
          <w:sz w:val="20"/>
          <w:szCs w:val="20"/>
          <w:highlight w:val="none"/>
        </w:rPr>
        <w:t xml:space="preserve">In Rel-17, CE WI </w:t>
      </w:r>
      <w:r>
        <w:rPr>
          <w:rFonts w:ascii="Times New Roman" w:hAnsi="Times New Roman" w:eastAsia="宋体" w:cs="Times New Roman"/>
          <w:bCs/>
          <w:kern w:val="0"/>
          <w:sz w:val="20"/>
          <w:szCs w:val="20"/>
          <w:highlight w:val="none"/>
        </w:rPr>
        <w:t xml:space="preserve">has </w:t>
      </w:r>
      <w:r>
        <w:rPr>
          <w:rFonts w:hint="eastAsia" w:ascii="Times New Roman" w:hAnsi="Times New Roman" w:eastAsia="宋体" w:cs="Times New Roman"/>
          <w:bCs/>
          <w:kern w:val="0"/>
          <w:sz w:val="20"/>
          <w:szCs w:val="20"/>
          <w:highlight w:val="none"/>
        </w:rPr>
        <w:t>stud</w:t>
      </w:r>
      <w:r>
        <w:rPr>
          <w:rFonts w:ascii="Times New Roman" w:hAnsi="Times New Roman" w:eastAsia="宋体" w:cs="Times New Roman"/>
          <w:bCs/>
          <w:kern w:val="0"/>
          <w:sz w:val="20"/>
          <w:szCs w:val="20"/>
          <w:highlight w:val="none"/>
        </w:rPr>
        <w:t>ied</w:t>
      </w:r>
      <w:r>
        <w:rPr>
          <w:rFonts w:hint="eastAsia" w:ascii="Times New Roman" w:hAnsi="Times New Roman" w:eastAsia="宋体" w:cs="Times New Roman"/>
          <w:bCs/>
          <w:kern w:val="0"/>
          <w:sz w:val="20"/>
          <w:szCs w:val="20"/>
          <w:highlight w:val="none"/>
        </w:rPr>
        <w:t xml:space="preserve"> and specif</w:t>
      </w:r>
      <w:r>
        <w:rPr>
          <w:rFonts w:ascii="Times New Roman" w:hAnsi="Times New Roman" w:eastAsia="宋体" w:cs="Times New Roman"/>
          <w:bCs/>
          <w:kern w:val="0"/>
          <w:sz w:val="20"/>
          <w:szCs w:val="20"/>
          <w:highlight w:val="none"/>
        </w:rPr>
        <w:t>ied</w:t>
      </w:r>
      <w:r>
        <w:rPr>
          <w:rFonts w:hint="eastAsia" w:ascii="Times New Roman" w:hAnsi="Times New Roman" w:eastAsia="宋体" w:cs="Times New Roman"/>
          <w:bCs/>
          <w:kern w:val="0"/>
          <w:sz w:val="20"/>
          <w:szCs w:val="20"/>
          <w:highlight w:val="none"/>
        </w:rPr>
        <w:t xml:space="preserve"> dynamic indication for PUCCH repetition, by configuring associated repetition factor with PUCCH resource. This mechanism is based on the RRC signalling, which means it cannot be used before RRC connection. </w:t>
      </w:r>
    </w:p>
    <w:p>
      <w:pPr>
        <w:spacing w:before="120" w:beforeLines="50" w:after="120" w:afterLines="50"/>
        <w:rPr>
          <w:rFonts w:ascii="Times New Roman" w:hAnsi="Times New Roman" w:eastAsia="宋体" w:cs="Times New Roman"/>
          <w:bCs/>
          <w:kern w:val="0"/>
          <w:sz w:val="20"/>
          <w:szCs w:val="20"/>
          <w:highlight w:val="none"/>
        </w:rPr>
      </w:pPr>
      <w:r>
        <w:rPr>
          <w:rFonts w:hint="eastAsia" w:ascii="Times New Roman" w:hAnsi="Times New Roman" w:eastAsia="宋体" w:cs="Times New Roman"/>
          <w:bCs/>
          <w:kern w:val="0"/>
          <w:sz w:val="20"/>
          <w:szCs w:val="20"/>
          <w:highlight w:val="none"/>
        </w:rPr>
        <w:t>T</w:t>
      </w:r>
      <w:r>
        <w:rPr>
          <w:rFonts w:ascii="Times New Roman" w:hAnsi="Times New Roman" w:eastAsia="宋体" w:cs="Times New Roman"/>
          <w:bCs/>
          <w:kern w:val="0"/>
          <w:sz w:val="20"/>
          <w:szCs w:val="20"/>
          <w:highlight w:val="none"/>
        </w:rPr>
        <w:t>hree</w:t>
      </w:r>
      <w:r>
        <w:rPr>
          <w:rFonts w:hint="eastAsia" w:ascii="Times New Roman" w:hAnsi="Times New Roman" w:eastAsia="宋体" w:cs="Times New Roman"/>
          <w:bCs/>
          <w:kern w:val="0"/>
          <w:sz w:val="20"/>
          <w:szCs w:val="20"/>
          <w:highlight w:val="none"/>
        </w:rPr>
        <w:t xml:space="preserve"> options </w:t>
      </w:r>
      <w:r>
        <w:rPr>
          <w:rFonts w:ascii="Times New Roman" w:hAnsi="Times New Roman" w:eastAsia="宋体" w:cs="Times New Roman"/>
          <w:bCs/>
          <w:kern w:val="0"/>
          <w:sz w:val="20"/>
          <w:szCs w:val="20"/>
          <w:highlight w:val="none"/>
        </w:rPr>
        <w:t xml:space="preserve">listed above need to be discussed </w:t>
      </w:r>
      <w:r>
        <w:rPr>
          <w:rFonts w:hint="eastAsia" w:ascii="Times New Roman" w:hAnsi="Times New Roman" w:eastAsia="宋体" w:cs="Times New Roman"/>
          <w:bCs/>
          <w:kern w:val="0"/>
          <w:sz w:val="20"/>
          <w:szCs w:val="20"/>
          <w:highlight w:val="none"/>
        </w:rPr>
        <w:t>to enable the PUCCH repetitions for Msg4 HARQ-ACK</w:t>
      </w:r>
      <w:r>
        <w:rPr>
          <w:rFonts w:ascii="Times New Roman" w:hAnsi="Times New Roman" w:eastAsia="宋体" w:cs="Times New Roman"/>
          <w:bCs/>
          <w:kern w:val="0"/>
          <w:sz w:val="20"/>
          <w:szCs w:val="20"/>
          <w:highlight w:val="none"/>
        </w:rPr>
        <w:t xml:space="preserve"> in NTN scenarios</w:t>
      </w:r>
      <w:r>
        <w:rPr>
          <w:rFonts w:hint="eastAsia" w:ascii="Times New Roman" w:hAnsi="Times New Roman" w:eastAsia="宋体" w:cs="Times New Roman"/>
          <w:bCs/>
          <w:kern w:val="0"/>
          <w:sz w:val="20"/>
          <w:szCs w:val="20"/>
          <w:highlight w:val="none"/>
        </w:rPr>
        <w:t>.</w:t>
      </w:r>
      <w:r>
        <w:rPr>
          <w:rFonts w:ascii="Times New Roman" w:hAnsi="Times New Roman" w:eastAsia="宋体" w:cs="Times New Roman"/>
          <w:bCs/>
          <w:kern w:val="0"/>
          <w:sz w:val="20"/>
          <w:szCs w:val="20"/>
          <w:highlight w:val="none"/>
        </w:rPr>
        <w:t xml:space="preserve"> Considering Option 1, cell-specific configuration</w:t>
      </w:r>
      <w:r>
        <w:rPr>
          <w:rFonts w:hint="eastAsia" w:ascii="Times New Roman" w:hAnsi="Times New Roman" w:eastAsia="宋体" w:cs="Times New Roman"/>
          <w:bCs/>
          <w:kern w:val="0"/>
          <w:sz w:val="20"/>
          <w:szCs w:val="20"/>
          <w:highlight w:val="none"/>
        </w:rPr>
        <w:t xml:space="preserve"> </w:t>
      </w:r>
      <w:r>
        <w:rPr>
          <w:rFonts w:ascii="Times New Roman" w:hAnsi="Times New Roman" w:eastAsia="宋体" w:cs="Times New Roman"/>
          <w:bCs/>
          <w:kern w:val="0"/>
          <w:sz w:val="20"/>
          <w:szCs w:val="20"/>
          <w:highlight w:val="none"/>
        </w:rPr>
        <w:t xml:space="preserve">for PUCCH repetition is a simple solution with less spec impact. Especially for the deployment scenarios where UEs in a NTN cell suffering from a similar channel condition, cell-specific repetition configuration is reasonable, same number of PUCCH repetitions can be configured to all UEs with bad channel condition. While when the UEs in good channel condition, no PUCCH repetition is needed. </w:t>
      </w:r>
      <w:r>
        <w:rPr>
          <w:rFonts w:ascii="Times New Roman" w:hAnsi="Times New Roman" w:eastAsia="宋体" w:cs="Times New Roman"/>
          <w:bCs/>
          <w:kern w:val="0"/>
          <w:sz w:val="20"/>
          <w:szCs w:val="20"/>
        </w:rPr>
        <w:t>Whether all the NTN UE</w:t>
      </w:r>
      <w:r>
        <w:rPr>
          <w:rFonts w:hint="default" w:ascii="Times New Roman" w:hAnsi="Times New Roman" w:eastAsia="宋体" w:cs="Times New Roman"/>
          <w:bCs/>
          <w:kern w:val="0"/>
          <w:sz w:val="20"/>
          <w:szCs w:val="20"/>
          <w:lang w:val="en-US"/>
        </w:rPr>
        <w:t>s</w:t>
      </w:r>
      <w:r>
        <w:rPr>
          <w:rFonts w:ascii="Times New Roman" w:hAnsi="Times New Roman" w:eastAsia="宋体" w:cs="Times New Roman"/>
          <w:bCs/>
          <w:kern w:val="0"/>
          <w:sz w:val="20"/>
          <w:szCs w:val="20"/>
        </w:rPr>
        <w:t xml:space="preserve"> have this </w:t>
      </w:r>
      <w:r>
        <w:rPr>
          <w:rFonts w:ascii="Times New Roman" w:hAnsi="Times New Roman" w:cs="Times New Roman"/>
          <w:sz w:val="20"/>
          <w:szCs w:val="20"/>
        </w:rPr>
        <w:t>repetition capability also need</w:t>
      </w:r>
      <w:r>
        <w:rPr>
          <w:rFonts w:hint="default" w:ascii="Times New Roman" w:hAnsi="Times New Roman" w:cs="Times New Roman"/>
          <w:sz w:val="20"/>
          <w:szCs w:val="20"/>
          <w:lang w:val="en-US"/>
        </w:rPr>
        <w:t xml:space="preserve"> further</w:t>
      </w:r>
      <w:r>
        <w:rPr>
          <w:rFonts w:ascii="Times New Roman" w:hAnsi="Times New Roman" w:cs="Times New Roman"/>
          <w:sz w:val="20"/>
          <w:szCs w:val="20"/>
        </w:rPr>
        <w:t xml:space="preserve"> discussion, otherwise we may need to discuss how gNB know that the UE transmit PUCCH repetition, e.g., a dedicated</w:t>
      </w:r>
      <w:r>
        <w:rPr>
          <w:rFonts w:ascii="Times New Roman" w:hAnsi="Times New Roman" w:cs="Times New Roman"/>
          <w:i/>
          <w:sz w:val="20"/>
          <w:szCs w:val="20"/>
        </w:rPr>
        <w:t xml:space="preserve"> pucch-ResourceCommon</w:t>
      </w:r>
      <w:r>
        <w:rPr>
          <w:rFonts w:ascii="Times New Roman" w:hAnsi="Times New Roman" w:cs="Times New Roman"/>
          <w:sz w:val="20"/>
          <w:szCs w:val="20"/>
        </w:rPr>
        <w:t xml:space="preserve"> in SIB1&gt;initial BWP&gt;PUCCH-ConfigCommon for </w:t>
      </w:r>
      <w:r>
        <w:rPr>
          <w:rFonts w:ascii="Times New Roman" w:hAnsi="Times New Roman" w:cs="Times New Roman"/>
          <w:sz w:val="20"/>
          <w:szCs w:val="20"/>
          <w:highlight w:val="none"/>
        </w:rPr>
        <w:t>NTN CE UE.</w:t>
      </w:r>
    </w:p>
    <w:p>
      <w:pPr>
        <w:spacing w:before="120" w:beforeLines="50" w:after="120" w:afterLines="50"/>
        <w:rPr>
          <w:rFonts w:ascii="Times New Roman" w:hAnsi="Times New Roman" w:eastAsia="宋体" w:cs="Times New Roman"/>
          <w:b/>
          <w:bCs/>
          <w:kern w:val="0"/>
          <w:sz w:val="20"/>
          <w:szCs w:val="20"/>
          <w:highlight w:val="none"/>
        </w:rPr>
      </w:pPr>
      <w:r>
        <w:rPr>
          <w:rFonts w:hint="eastAsia" w:ascii="Times New Roman" w:hAnsi="Times New Roman" w:eastAsia="宋体" w:cs="Times New Roman"/>
          <w:b/>
          <w:bCs/>
          <w:i/>
          <w:iCs/>
          <w:kern w:val="0"/>
          <w:sz w:val="20"/>
          <w:szCs w:val="20"/>
          <w:highlight w:val="none"/>
        </w:rPr>
        <w:t>Observation</w:t>
      </w:r>
      <w:r>
        <w:rPr>
          <w:rFonts w:ascii="Times New Roman" w:hAnsi="Times New Roman" w:eastAsia="宋体" w:cs="Times New Roman"/>
          <w:b/>
          <w:bCs/>
          <w:i/>
          <w:iCs/>
          <w:kern w:val="0"/>
          <w:sz w:val="20"/>
          <w:szCs w:val="20"/>
          <w:highlight w:val="none"/>
        </w:rPr>
        <w:t xml:space="preserve"> 1</w:t>
      </w:r>
      <w:r>
        <w:rPr>
          <w:rFonts w:hint="eastAsia" w:ascii="Times New Roman" w:hAnsi="Times New Roman" w:eastAsia="宋体" w:cs="Times New Roman"/>
          <w:b/>
          <w:bCs/>
          <w:kern w:val="0"/>
          <w:sz w:val="20"/>
          <w:szCs w:val="20"/>
          <w:highlight w:val="none"/>
        </w:rPr>
        <w:t>: Option 1 is reasonable if all the UEs in a NTN cell suffering from a similar bad channel condition.</w:t>
      </w:r>
    </w:p>
    <w:p>
      <w:pPr>
        <w:spacing w:before="120" w:beforeLines="50" w:after="120" w:afterLines="50"/>
        <w:rPr>
          <w:rFonts w:ascii="Times New Roman" w:hAnsi="Times New Roman" w:cs="Times New Roman"/>
          <w:sz w:val="20"/>
          <w:szCs w:val="20"/>
        </w:rPr>
      </w:pPr>
      <w:r>
        <w:rPr>
          <w:rFonts w:ascii="Times New Roman" w:hAnsi="Times New Roman" w:eastAsia="宋体" w:cs="Times New Roman"/>
          <w:bCs/>
          <w:kern w:val="0"/>
          <w:sz w:val="20"/>
          <w:szCs w:val="20"/>
          <w:highlight w:val="none"/>
        </w:rPr>
        <w:t>For Option 2</w:t>
      </w:r>
      <w:r>
        <w:rPr>
          <w:rFonts w:hint="default" w:ascii="Times New Roman" w:hAnsi="Times New Roman" w:eastAsia="宋体" w:cs="Times New Roman"/>
          <w:bCs/>
          <w:kern w:val="0"/>
          <w:sz w:val="20"/>
          <w:szCs w:val="20"/>
          <w:highlight w:val="none"/>
          <w:lang w:val="en-US"/>
        </w:rPr>
        <w:t xml:space="preserve"> and Option 3</w:t>
      </w:r>
      <w:r>
        <w:rPr>
          <w:rFonts w:ascii="Times New Roman" w:hAnsi="Times New Roman" w:eastAsia="宋体" w:cs="Times New Roman"/>
          <w:bCs/>
          <w:kern w:val="0"/>
          <w:sz w:val="20"/>
          <w:szCs w:val="20"/>
          <w:highlight w:val="none"/>
        </w:rPr>
        <w:t xml:space="preserve">, </w:t>
      </w:r>
      <w:r>
        <w:rPr>
          <w:rFonts w:ascii="Times" w:hAnsi="Times" w:eastAsia="Batang"/>
          <w:sz w:val="20"/>
          <w:szCs w:val="18"/>
          <w:lang w:eastAsia="en-US"/>
        </w:rPr>
        <w:t xml:space="preserve">UE requests repetition and </w:t>
      </w:r>
      <w:r>
        <w:rPr>
          <w:rFonts w:ascii="Times New Roman" w:hAnsi="Times New Roman" w:eastAsia="宋体" w:cs="Times New Roman"/>
          <w:bCs/>
          <w:kern w:val="0"/>
          <w:sz w:val="20"/>
          <w:szCs w:val="20"/>
          <w:highlight w:val="none"/>
        </w:rPr>
        <w:t>UE-specific repetition configuration may be more efficient and flexible</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 xml:space="preserve"> </w:t>
      </w:r>
      <w:r>
        <w:rPr>
          <w:rFonts w:hint="default" w:ascii="Times New Roman" w:hAnsi="Times New Roman" w:eastAsia="宋体" w:cs="Times New Roman"/>
          <w:bCs/>
          <w:kern w:val="0"/>
          <w:sz w:val="20"/>
          <w:szCs w:val="20"/>
          <w:lang w:val="en-US"/>
        </w:rPr>
        <w:t xml:space="preserve">Besides, </w:t>
      </w:r>
      <w:r>
        <w:rPr>
          <w:rFonts w:ascii="Times New Roman" w:hAnsi="Times New Roman" w:eastAsia="宋体" w:cs="Times New Roman"/>
          <w:bCs/>
          <w:kern w:val="0"/>
          <w:sz w:val="20"/>
          <w:szCs w:val="20"/>
        </w:rPr>
        <w:t>Option 2 and option 3 have a similar procedure</w:t>
      </w:r>
      <w:r>
        <w:rPr>
          <w:rFonts w:hint="default" w:ascii="Times New Roman" w:hAnsi="Times New Roman" w:eastAsia="宋体" w:cs="Times New Roman"/>
          <w:bCs/>
          <w:kern w:val="0"/>
          <w:sz w:val="20"/>
          <w:szCs w:val="20"/>
          <w:lang w:val="en-US"/>
        </w:rPr>
        <w:t>, t</w:t>
      </w:r>
      <w:r>
        <w:rPr>
          <w:rFonts w:ascii="Times New Roman" w:hAnsi="Times New Roman" w:eastAsia="宋体" w:cs="Times New Roman"/>
          <w:bCs/>
          <w:kern w:val="0"/>
          <w:sz w:val="20"/>
          <w:szCs w:val="20"/>
        </w:rPr>
        <w:t xml:space="preserve">he main difference between two options is the </w:t>
      </w:r>
      <w:r>
        <w:rPr>
          <w:rFonts w:hint="eastAsia" w:ascii="Times New Roman" w:hAnsi="Times New Roman" w:eastAsia="宋体" w:cs="Times New Roman"/>
          <w:bCs/>
          <w:kern w:val="0"/>
          <w:sz w:val="20"/>
          <w:szCs w:val="20"/>
        </w:rPr>
        <w:t>UE</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which</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has</w:t>
      </w:r>
      <w:r>
        <w:rPr>
          <w:rFonts w:ascii="Times New Roman" w:hAnsi="Times New Roman" w:eastAsia="宋体" w:cs="Times New Roman"/>
          <w:bCs/>
          <w:kern w:val="0"/>
          <w:sz w:val="20"/>
          <w:szCs w:val="20"/>
        </w:rPr>
        <w:t xml:space="preserve"> </w:t>
      </w:r>
      <w:r>
        <w:rPr>
          <w:rFonts w:ascii="Times New Roman" w:hAnsi="Times New Roman" w:cs="Times New Roman"/>
          <w:sz w:val="20"/>
          <w:szCs w:val="20"/>
        </w:rPr>
        <w:t>repetition capability but does not request</w:t>
      </w:r>
      <w:r>
        <w:rPr>
          <w:rFonts w:hint="default" w:ascii="Times New Roman" w:hAnsi="Times New Roman" w:cs="Times New Roman"/>
          <w:sz w:val="20"/>
          <w:szCs w:val="20"/>
          <w:lang w:val="en-US"/>
        </w:rPr>
        <w:t xml:space="preserve"> in Option 3</w:t>
      </w:r>
      <w:r>
        <w:rPr>
          <w:rFonts w:ascii="Times New Roman" w:hAnsi="Times New Roman" w:cs="Times New Roman"/>
          <w:sz w:val="20"/>
          <w:szCs w:val="20"/>
        </w:rPr>
        <w:t>. In this case, UE may report repetition capability after RACH procedure to let gNB have a better understanding.</w:t>
      </w:r>
    </w:p>
    <w:p>
      <w:pPr>
        <w:spacing w:before="120" w:beforeLines="50" w:after="120" w:afterLines="50"/>
        <w:rPr>
          <w:rFonts w:hint="eastAsia" w:ascii="Times New Roman" w:hAnsi="Times New Roman" w:eastAsia="宋体" w:cs="Times New Roman"/>
          <w:bCs/>
          <w:kern w:val="0"/>
          <w:sz w:val="20"/>
          <w:szCs w:val="20"/>
          <w:highlight w:val="none"/>
        </w:rPr>
      </w:pPr>
      <w:r>
        <w:rPr>
          <w:rFonts w:ascii="Times New Roman" w:hAnsi="Times New Roman" w:cs="Times New Roman"/>
          <w:sz w:val="20"/>
          <w:szCs w:val="20"/>
        </w:rPr>
        <w:t>For the issue about how UE indicates repetition capability</w:t>
      </w:r>
      <w:r>
        <w:rPr>
          <w:rFonts w:ascii="Times New Roman" w:hAnsi="Times New Roman" w:eastAsia="宋体" w:cs="Times New Roman"/>
          <w:sz w:val="20"/>
          <w:szCs w:val="20"/>
        </w:rPr>
        <w:t xml:space="preserve"> before Msg4, the UL transmissions in a RACH procedure are the Msg1 and the Msg3. If UE indicates </w:t>
      </w:r>
      <w:r>
        <w:rPr>
          <w:rFonts w:ascii="Times New Roman" w:hAnsi="Times New Roman" w:cs="Times New Roman"/>
          <w:sz w:val="20"/>
          <w:szCs w:val="20"/>
        </w:rPr>
        <w:t>repetition capability in Msg3, then gNB send the repetition factor (if any) in Msg4. But if UE cannot successfully decode the Msg4, repetition factor is missed, and UE have no idea about how to send this NACK message.</w:t>
      </w:r>
    </w:p>
    <w:p>
      <w:pPr>
        <w:adjustRightInd w:val="0"/>
        <w:snapToGrid w:val="0"/>
        <w:spacing w:before="120" w:beforeLines="50" w:after="120" w:afterLines="50"/>
        <w:rPr>
          <w:rFonts w:ascii="Times New Roman" w:hAnsi="Times New Roman" w:eastAsia="宋体" w:cs="Times New Roman"/>
          <w:bCs/>
          <w:kern w:val="0"/>
          <w:sz w:val="20"/>
          <w:szCs w:val="20"/>
          <w:highlight w:val="none"/>
        </w:rPr>
      </w:pPr>
      <w:r>
        <w:rPr>
          <w:rFonts w:hint="eastAsia" w:ascii="Times New Roman" w:hAnsi="Times New Roman" w:eastAsia="宋体" w:cs="Times New Roman"/>
          <w:bCs/>
          <w:kern w:val="0"/>
          <w:sz w:val="20"/>
          <w:szCs w:val="20"/>
          <w:highlight w:val="none"/>
        </w:rPr>
        <w:t>Same mechanism for Msg3 repetition in Rel-17 can be reused in this sce</w:t>
      </w:r>
      <w:r>
        <w:rPr>
          <w:rFonts w:ascii="Times New Roman" w:hAnsi="Times New Roman" w:eastAsia="宋体" w:cs="Times New Roman"/>
          <w:bCs/>
          <w:kern w:val="0"/>
          <w:sz w:val="20"/>
          <w:szCs w:val="20"/>
          <w:highlight w:val="none"/>
        </w:rPr>
        <w:t>nar</w:t>
      </w:r>
      <w:r>
        <w:rPr>
          <w:rFonts w:hint="eastAsia" w:ascii="Times New Roman" w:hAnsi="Times New Roman" w:eastAsia="宋体" w:cs="Times New Roman"/>
          <w:bCs/>
          <w:kern w:val="0"/>
          <w:sz w:val="20"/>
          <w:szCs w:val="20"/>
          <w:highlight w:val="none"/>
        </w:rPr>
        <w:t>io. UE request</w:t>
      </w:r>
      <w:r>
        <w:rPr>
          <w:rFonts w:ascii="Times New Roman" w:hAnsi="Times New Roman" w:eastAsia="宋体" w:cs="Times New Roman"/>
          <w:bCs/>
          <w:kern w:val="0"/>
          <w:sz w:val="20"/>
          <w:szCs w:val="20"/>
          <w:highlight w:val="none"/>
        </w:rPr>
        <w:t>s</w:t>
      </w:r>
      <w:r>
        <w:rPr>
          <w:rFonts w:hint="eastAsia" w:ascii="Times New Roman" w:hAnsi="Times New Roman" w:eastAsia="宋体" w:cs="Times New Roman"/>
          <w:bCs/>
          <w:kern w:val="0"/>
          <w:sz w:val="20"/>
          <w:szCs w:val="20"/>
          <w:highlight w:val="none"/>
        </w:rPr>
        <w:t xml:space="preserve"> Msg4 HARQ-ACK repetition in Msg1 by using a specific preamble when measured SSB-RSRP meet</w:t>
      </w:r>
      <w:r>
        <w:rPr>
          <w:rFonts w:ascii="Times New Roman" w:hAnsi="Times New Roman" w:eastAsia="宋体" w:cs="Times New Roman"/>
          <w:bCs/>
          <w:kern w:val="0"/>
          <w:sz w:val="20"/>
          <w:szCs w:val="20"/>
          <w:highlight w:val="none"/>
        </w:rPr>
        <w:t>s</w:t>
      </w:r>
      <w:r>
        <w:rPr>
          <w:rFonts w:hint="eastAsia" w:ascii="Times New Roman" w:hAnsi="Times New Roman" w:eastAsia="宋体" w:cs="Times New Roman"/>
          <w:bCs/>
          <w:kern w:val="0"/>
          <w:sz w:val="20"/>
          <w:szCs w:val="20"/>
          <w:highlight w:val="none"/>
        </w:rPr>
        <w:t xml:space="preserve"> the threshold, and then Msg2 carries the indication by reinterpreted bit field in RAR UL Grant. Considering UL coverage limitation happens in both Msg3 and Msg4 HARQ-ACK, a joint repetit</w:t>
      </w:r>
      <w:r>
        <w:rPr>
          <w:rFonts w:ascii="Times New Roman" w:hAnsi="Times New Roman" w:eastAsia="宋体" w:cs="Times New Roman"/>
          <w:bCs/>
          <w:kern w:val="0"/>
          <w:sz w:val="20"/>
          <w:szCs w:val="20"/>
          <w:highlight w:val="none"/>
        </w:rPr>
        <w:t>i</w:t>
      </w:r>
      <w:r>
        <w:rPr>
          <w:rFonts w:hint="eastAsia" w:ascii="Times New Roman" w:hAnsi="Times New Roman" w:eastAsia="宋体" w:cs="Times New Roman"/>
          <w:bCs/>
          <w:kern w:val="0"/>
          <w:sz w:val="20"/>
          <w:szCs w:val="20"/>
          <w:highlight w:val="none"/>
        </w:rPr>
        <w:t>on indication can also be discussed.</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Since</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t</w:t>
      </w:r>
      <w:r>
        <w:rPr>
          <w:rFonts w:ascii="Times New Roman" w:hAnsi="Times New Roman" w:eastAsia="宋体" w:cs="Times New Roman"/>
          <w:bCs/>
          <w:kern w:val="0"/>
          <w:sz w:val="20"/>
          <w:szCs w:val="20"/>
        </w:rPr>
        <w:t xml:space="preserve">he payload of PUSCH carry Msg3 is larger </w:t>
      </w:r>
      <w:r>
        <w:rPr>
          <w:rFonts w:hint="eastAsia" w:ascii="Times New Roman" w:hAnsi="Times New Roman" w:eastAsia="宋体" w:cs="Times New Roman"/>
          <w:bCs/>
          <w:kern w:val="0"/>
          <w:sz w:val="20"/>
          <w:szCs w:val="20"/>
        </w:rPr>
        <w:t>than</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the</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Msg4 HARQ-ACK，the</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repetition</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factor</w:t>
      </w:r>
      <w:r>
        <w:rPr>
          <w:rFonts w:ascii="Times New Roman" w:hAnsi="Times New Roman" w:eastAsia="宋体" w:cs="Times New Roman"/>
          <w:bCs/>
          <w:kern w:val="0"/>
          <w:sz w:val="20"/>
          <w:szCs w:val="20"/>
        </w:rPr>
        <w:t xml:space="preserve"> of </w:t>
      </w:r>
      <w:r>
        <w:rPr>
          <w:rFonts w:hint="eastAsia" w:ascii="Times New Roman" w:hAnsi="Times New Roman" w:eastAsia="宋体" w:cs="Times New Roman"/>
          <w:bCs/>
          <w:kern w:val="0"/>
          <w:sz w:val="20"/>
          <w:szCs w:val="20"/>
        </w:rPr>
        <w:t>Msg4 HARQ-ACK</w:t>
      </w:r>
      <w:r>
        <w:rPr>
          <w:rFonts w:ascii="Times New Roman" w:hAnsi="Times New Roman" w:eastAsia="宋体" w:cs="Times New Roman"/>
          <w:bCs/>
          <w:kern w:val="0"/>
          <w:sz w:val="20"/>
          <w:szCs w:val="20"/>
        </w:rPr>
        <w:t xml:space="preserve"> could be the fraction of the </w:t>
      </w:r>
      <w:r>
        <w:rPr>
          <w:rFonts w:hint="eastAsia" w:ascii="Times New Roman" w:hAnsi="Times New Roman" w:eastAsia="宋体" w:cs="Times New Roman"/>
          <w:bCs/>
          <w:kern w:val="0"/>
          <w:sz w:val="20"/>
          <w:szCs w:val="20"/>
        </w:rPr>
        <w:t>Msg</w:t>
      </w:r>
      <w:r>
        <w:rPr>
          <w:rFonts w:ascii="Times New Roman" w:hAnsi="Times New Roman" w:eastAsia="宋体" w:cs="Times New Roman"/>
          <w:bCs/>
          <w:kern w:val="0"/>
          <w:sz w:val="20"/>
          <w:szCs w:val="20"/>
        </w:rPr>
        <w:t>3 repetition factor.</w:t>
      </w:r>
    </w:p>
    <w:p>
      <w:pPr>
        <w:adjustRightInd w:val="0"/>
        <w:snapToGrid w:val="0"/>
        <w:rPr>
          <w:rFonts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Proposal 1:</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Enabling PUCCH repetitions</w:t>
      </w:r>
      <w:r>
        <w:rPr>
          <w:rFonts w:ascii="Times New Roman" w:hAnsi="Times New Roman" w:eastAsia="宋体" w:cs="Times New Roman"/>
          <w:b/>
          <w:kern w:val="0"/>
          <w:sz w:val="20"/>
          <w:szCs w:val="20"/>
          <w:highlight w:val="none"/>
        </w:rPr>
        <w:t xml:space="preserve"> can be supported in NTN</w:t>
      </w:r>
      <w:r>
        <w:rPr>
          <w:rFonts w:hint="eastAsia" w:ascii="Times New Roman" w:hAnsi="Times New Roman" w:eastAsia="宋体" w:cs="Times New Roman"/>
          <w:b/>
          <w:kern w:val="0"/>
          <w:sz w:val="20"/>
          <w:szCs w:val="20"/>
          <w:highlight w:val="none"/>
        </w:rPr>
        <w:t xml:space="preserve">, </w:t>
      </w:r>
      <w:r>
        <w:rPr>
          <w:rFonts w:hint="default" w:ascii="Times New Roman" w:hAnsi="Times New Roman" w:eastAsia="宋体" w:cs="Times New Roman"/>
          <w:b/>
          <w:kern w:val="0"/>
          <w:sz w:val="20"/>
          <w:szCs w:val="20"/>
          <w:highlight w:val="none"/>
          <w:lang w:val="en-US"/>
        </w:rPr>
        <w:t xml:space="preserve">and </w:t>
      </w:r>
      <w:r>
        <w:rPr>
          <w:rFonts w:hint="eastAsia" w:ascii="Times New Roman" w:hAnsi="Times New Roman" w:eastAsia="宋体" w:cs="Times New Roman"/>
          <w:b/>
          <w:kern w:val="0"/>
          <w:sz w:val="20"/>
          <w:szCs w:val="20"/>
          <w:highlight w:val="none"/>
        </w:rPr>
        <w:t>two options can be discussed.</w:t>
      </w:r>
    </w:p>
    <w:p>
      <w:pPr>
        <w:widowControl/>
        <w:numPr>
          <w:ilvl w:val="0"/>
          <w:numId w:val="11"/>
        </w:numPr>
        <w:spacing w:before="120" w:after="120"/>
        <w:ind w:left="240" w:leftChars="100"/>
        <w:rPr>
          <w:rFonts w:ascii="Times New Roman" w:hAnsi="Times New Roman" w:eastAsia="MS Mincho" w:cs="Times New Roman"/>
          <w:b/>
          <w:bCs/>
          <w:kern w:val="0"/>
          <w:sz w:val="20"/>
          <w:szCs w:val="20"/>
          <w:highlight w:val="none"/>
          <w:lang w:eastAsia="en-US"/>
        </w:rPr>
      </w:pPr>
      <w:r>
        <w:rPr>
          <w:rFonts w:ascii="Times New Roman" w:hAnsi="Times New Roman" w:eastAsia="MS Mincho" w:cs="Times New Roman"/>
          <w:b/>
          <w:bCs/>
          <w:kern w:val="0"/>
          <w:sz w:val="20"/>
          <w:szCs w:val="20"/>
          <w:highlight w:val="none"/>
          <w:lang w:eastAsia="en-US"/>
        </w:rPr>
        <w:t>Option 1: Reuse mechanism for Msg3 repetition.</w:t>
      </w:r>
    </w:p>
    <w:p>
      <w:pPr>
        <w:widowControl/>
        <w:numPr>
          <w:ilvl w:val="0"/>
          <w:numId w:val="11"/>
        </w:numPr>
        <w:spacing w:before="120" w:after="120"/>
        <w:ind w:left="240" w:leftChars="100"/>
        <w:rPr>
          <w:rFonts w:ascii="Times New Roman" w:hAnsi="Times New Roman" w:eastAsia="MS Mincho" w:cs="Times New Roman"/>
          <w:b/>
          <w:bCs/>
          <w:kern w:val="0"/>
          <w:sz w:val="20"/>
          <w:szCs w:val="20"/>
          <w:highlight w:val="none"/>
          <w:lang w:eastAsia="en-US"/>
        </w:rPr>
      </w:pPr>
      <w:r>
        <w:rPr>
          <w:rFonts w:ascii="Times New Roman" w:hAnsi="Times New Roman" w:eastAsia="MS Mincho" w:cs="Times New Roman"/>
          <w:b/>
          <w:bCs/>
          <w:kern w:val="0"/>
          <w:sz w:val="20"/>
          <w:szCs w:val="20"/>
          <w:highlight w:val="none"/>
          <w:lang w:eastAsia="en-US"/>
        </w:rPr>
        <w:t>Option 2: A joint indication for both Msg3 and Msg4 HARQ-ACK repetitions.</w:t>
      </w:r>
    </w:p>
    <w:p>
      <w:pPr>
        <w:widowControl/>
        <w:spacing w:before="120" w:after="1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Another issue on PUCCH repetition for Msg4 HARQ-ACK is the configuration/indication of the repetition factor. Since the repetition factor 2, 4, 8 are acceptable according to the conclusion achieved in the last RAN1 meeting, we will further discuss whether/how single PUCCH transmission can be configured and/or indicated.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keepNext w:val="0"/>
              <w:keepLines w:val="0"/>
              <w:pageBreakBefore w:val="0"/>
              <w:widowControl w:val="0"/>
              <w:kinsoku/>
              <w:wordWrap/>
              <w:overflowPunct/>
              <w:topLinePunct w:val="0"/>
              <w:autoSpaceDE/>
              <w:autoSpaceDN/>
              <w:bidi w:val="0"/>
              <w:adjustRightInd/>
              <w:spacing w:before="0" w:beforeLines="5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PUCCH transmission for Msg4 HARQ-ACK, supported number of transmissions are 1, 2, 4, 8.</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ind w:left="7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Note: single PUCCH transmission is performed as in the existing specification, and/or (if supported for single PUCCH transmission) according to configuration/indication e.g., in signaling with respect to number of transmissions.</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ind w:left="7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whether larger number of transmissions is supported</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Lines="50" w:after="0" w:afterLines="50"/>
              <w:ind w:left="720"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whether/how single PUCCH transmission can be configured and/or indicated</w:t>
            </w:r>
          </w:p>
        </w:tc>
      </w:tr>
    </w:tbl>
    <w:p>
      <w:pPr>
        <w:widowControl/>
        <w:spacing w:before="120" w:after="1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From our perspective, the same issue has been discussed in Rel-17 Msg3 repetition enhancement, and this issue </w:t>
      </w:r>
      <w:r>
        <w:rPr>
          <w:rFonts w:hint="default" w:ascii="Times New Roman" w:hAnsi="Times New Roman" w:eastAsia="MS Mincho" w:cs="Times New Roman"/>
          <w:kern w:val="0"/>
          <w:sz w:val="20"/>
          <w:szCs w:val="20"/>
          <w:lang w:val="en-US" w:eastAsia="en-US"/>
        </w:rPr>
        <w:t xml:space="preserve">is </w:t>
      </w:r>
      <w:r>
        <w:rPr>
          <w:rFonts w:ascii="Times New Roman" w:hAnsi="Times New Roman" w:eastAsia="MS Mincho" w:cs="Times New Roman"/>
          <w:kern w:val="0"/>
          <w:sz w:val="20"/>
          <w:szCs w:val="20"/>
          <w:lang w:eastAsia="en-US"/>
        </w:rPr>
        <w:t>also relate</w:t>
      </w:r>
      <w:r>
        <w:rPr>
          <w:rFonts w:hint="default" w:ascii="Times New Roman" w:hAnsi="Times New Roman" w:eastAsia="MS Mincho" w:cs="Times New Roman"/>
          <w:kern w:val="0"/>
          <w:sz w:val="20"/>
          <w:szCs w:val="20"/>
          <w:lang w:val="en-US" w:eastAsia="en-US"/>
        </w:rPr>
        <w:t>d</w:t>
      </w:r>
      <w:r>
        <w:rPr>
          <w:rFonts w:ascii="Times New Roman" w:hAnsi="Times New Roman" w:eastAsia="MS Mincho" w:cs="Times New Roman"/>
          <w:kern w:val="0"/>
          <w:sz w:val="20"/>
          <w:szCs w:val="20"/>
          <w:lang w:eastAsia="en-US"/>
        </w:rPr>
        <w:t xml:space="preserve"> to the indicator mechanism. Depending on whether the indication bit field is limited, repetition factor</w:t>
      </w:r>
      <w:r>
        <w:rPr>
          <w:rFonts w:hint="default" w:ascii="Times New Roman" w:hAnsi="Times New Roman" w:eastAsia="MS Mincho" w:cs="Times New Roman"/>
          <w:kern w:val="0"/>
          <w:sz w:val="20"/>
          <w:szCs w:val="20"/>
          <w:lang w:val="en-US" w:eastAsia="en-US"/>
        </w:rPr>
        <w:t xml:space="preserve"> </w:t>
      </w:r>
      <w:r>
        <w:rPr>
          <w:rFonts w:ascii="Times New Roman" w:hAnsi="Times New Roman" w:eastAsia="MS Mincho" w:cs="Times New Roman"/>
          <w:kern w:val="0"/>
          <w:sz w:val="20"/>
          <w:szCs w:val="20"/>
          <w:lang w:eastAsia="en-US"/>
        </w:rPr>
        <w:t xml:space="preserve">1 and larger </w:t>
      </w:r>
      <w:r>
        <w:rPr>
          <w:rFonts w:hint="default" w:ascii="Times New Roman" w:hAnsi="Times New Roman" w:eastAsia="MS Mincho" w:cs="Times New Roman"/>
          <w:kern w:val="0"/>
          <w:sz w:val="20"/>
          <w:szCs w:val="20"/>
          <w:lang w:val="en-US" w:eastAsia="en-US"/>
        </w:rPr>
        <w:t>number more than</w:t>
      </w:r>
      <w:r>
        <w:rPr>
          <w:rFonts w:ascii="Times New Roman" w:hAnsi="Times New Roman" w:eastAsia="MS Mincho" w:cs="Times New Roman"/>
          <w:kern w:val="0"/>
          <w:sz w:val="20"/>
          <w:szCs w:val="20"/>
          <w:lang w:eastAsia="en-US"/>
        </w:rPr>
        <w:t xml:space="preserve"> 8 may be supported </w:t>
      </w:r>
      <w:r>
        <w:rPr>
          <w:rFonts w:hint="default" w:ascii="Times New Roman" w:hAnsi="Times New Roman" w:eastAsia="MS Mincho" w:cs="Times New Roman"/>
          <w:kern w:val="0"/>
          <w:sz w:val="20"/>
          <w:szCs w:val="20"/>
          <w:lang w:val="en-US" w:eastAsia="en-US"/>
        </w:rPr>
        <w:t>in</w:t>
      </w:r>
      <w:r>
        <w:rPr>
          <w:rFonts w:ascii="Times New Roman" w:hAnsi="Times New Roman" w:eastAsia="MS Mincho" w:cs="Times New Roman"/>
          <w:kern w:val="0"/>
          <w:sz w:val="20"/>
          <w:szCs w:val="20"/>
          <w:lang w:eastAsia="en-US"/>
        </w:rPr>
        <w:t xml:space="preserve"> different way</w:t>
      </w:r>
      <w:r>
        <w:rPr>
          <w:rFonts w:hint="default" w:ascii="Times New Roman" w:hAnsi="Times New Roman" w:eastAsia="MS Mincho" w:cs="Times New Roman"/>
          <w:kern w:val="0"/>
          <w:sz w:val="20"/>
          <w:szCs w:val="20"/>
          <w:lang w:val="en-US" w:eastAsia="en-US"/>
        </w:rPr>
        <w:t>s</w:t>
      </w:r>
      <w:r>
        <w:rPr>
          <w:rFonts w:ascii="Times New Roman" w:hAnsi="Times New Roman" w:eastAsia="MS Mincho" w:cs="Times New Roman"/>
          <w:kern w:val="0"/>
          <w:sz w:val="20"/>
          <w:szCs w:val="20"/>
          <w:lang w:eastAsia="en-US"/>
        </w:rPr>
        <w:t>. Considering the above three options for the</w:t>
      </w:r>
      <w:r>
        <w:rPr>
          <w:rFonts w:ascii="Times New Roman" w:hAnsi="Times New Roman" w:cs="Times New Roman"/>
          <w:sz w:val="20"/>
          <w:szCs w:val="20"/>
        </w:rPr>
        <w:t xml:space="preserve"> procedure to perform repetitions. For the </w:t>
      </w:r>
      <w:r>
        <w:rPr>
          <w:rFonts w:hint="default" w:ascii="Times New Roman" w:hAnsi="Times New Roman" w:cs="Times New Roman"/>
          <w:sz w:val="20"/>
          <w:szCs w:val="20"/>
          <w:lang w:val="en-US"/>
        </w:rPr>
        <w:t>O</w:t>
      </w:r>
      <w:r>
        <w:rPr>
          <w:rFonts w:ascii="Times New Roman" w:hAnsi="Times New Roman" w:cs="Times New Roman"/>
          <w:sz w:val="20"/>
          <w:szCs w:val="20"/>
        </w:rPr>
        <w:t>ption 1, repetition factor 1 could be achieved by not configur</w:t>
      </w:r>
      <w:r>
        <w:rPr>
          <w:rFonts w:hint="default" w:ascii="Times New Roman" w:hAnsi="Times New Roman" w:cs="Times New Roman"/>
          <w:sz w:val="20"/>
          <w:szCs w:val="20"/>
          <w:lang w:val="en-US"/>
        </w:rPr>
        <w:t>ing</w:t>
      </w:r>
      <w:r>
        <w:rPr>
          <w:rFonts w:ascii="Times New Roman" w:hAnsi="Times New Roman" w:cs="Times New Roman"/>
          <w:sz w:val="20"/>
          <w:szCs w:val="20"/>
        </w:rPr>
        <w:t xml:space="preserve"> the repetition configuration field. For the </w:t>
      </w:r>
      <w:r>
        <w:rPr>
          <w:rFonts w:hint="default" w:ascii="Times New Roman" w:hAnsi="Times New Roman" w:cs="Times New Roman"/>
          <w:sz w:val="20"/>
          <w:szCs w:val="20"/>
          <w:lang w:val="en-US"/>
        </w:rPr>
        <w:t>O</w:t>
      </w:r>
      <w:r>
        <w:rPr>
          <w:rFonts w:ascii="Times New Roman" w:hAnsi="Times New Roman" w:cs="Times New Roman"/>
          <w:sz w:val="20"/>
          <w:szCs w:val="20"/>
        </w:rPr>
        <w:t xml:space="preserve">ption 2 and </w:t>
      </w:r>
      <w:r>
        <w:rPr>
          <w:rFonts w:hint="default" w:ascii="Times New Roman" w:hAnsi="Times New Roman" w:cs="Times New Roman"/>
          <w:sz w:val="20"/>
          <w:szCs w:val="20"/>
          <w:lang w:val="en-US"/>
        </w:rPr>
        <w:t xml:space="preserve">Option </w:t>
      </w:r>
      <w:r>
        <w:rPr>
          <w:rFonts w:ascii="Times New Roman" w:hAnsi="Times New Roman" w:cs="Times New Roman"/>
          <w:sz w:val="20"/>
          <w:szCs w:val="20"/>
        </w:rPr>
        <w:t>3, after UE request</w:t>
      </w:r>
      <w:r>
        <w:rPr>
          <w:rFonts w:hint="default" w:ascii="Times New Roman" w:hAnsi="Times New Roman" w:cs="Times New Roman"/>
          <w:sz w:val="20"/>
          <w:szCs w:val="20"/>
          <w:lang w:val="en-US"/>
        </w:rPr>
        <w:t>s</w:t>
      </w:r>
      <w:r>
        <w:rPr>
          <w:rFonts w:ascii="Times New Roman" w:hAnsi="Times New Roman" w:cs="Times New Roman"/>
          <w:sz w:val="20"/>
          <w:szCs w:val="20"/>
        </w:rPr>
        <w:t xml:space="preserve"> repetition / indicate</w:t>
      </w:r>
      <w:r>
        <w:rPr>
          <w:rFonts w:hint="default" w:ascii="Times New Roman" w:hAnsi="Times New Roman" w:cs="Times New Roman"/>
          <w:sz w:val="20"/>
          <w:szCs w:val="20"/>
          <w:lang w:val="en-US"/>
        </w:rPr>
        <w:t>s</w:t>
      </w:r>
      <w:r>
        <w:rPr>
          <w:rFonts w:ascii="Times New Roman" w:hAnsi="Times New Roman" w:cs="Times New Roman"/>
          <w:sz w:val="20"/>
          <w:szCs w:val="20"/>
        </w:rPr>
        <w:t xml:space="preserve"> repetition capability,</w:t>
      </w:r>
      <w:r>
        <w:rPr>
          <w:rFonts w:ascii="Times New Roman" w:hAnsi="Times New Roman" w:eastAsia="MS Mincho" w:cs="Times New Roman"/>
          <w:kern w:val="0"/>
          <w:sz w:val="20"/>
          <w:szCs w:val="20"/>
          <w:lang w:eastAsia="en-US"/>
        </w:rPr>
        <w:t xml:space="preserve"> it may assume that </w:t>
      </w:r>
      <w:r>
        <w:rPr>
          <w:rFonts w:hint="default" w:ascii="Times New Roman" w:hAnsi="Times New Roman" w:eastAsia="MS Mincho" w:cs="Times New Roman"/>
          <w:kern w:val="0"/>
          <w:sz w:val="20"/>
          <w:szCs w:val="20"/>
          <w:lang w:val="en-US" w:eastAsia="en-US"/>
        </w:rPr>
        <w:t xml:space="preserve">the </w:t>
      </w:r>
      <w:r>
        <w:rPr>
          <w:rFonts w:ascii="Times New Roman" w:hAnsi="Times New Roman" w:eastAsia="MS Mincho" w:cs="Times New Roman"/>
          <w:kern w:val="0"/>
          <w:sz w:val="20"/>
          <w:szCs w:val="20"/>
          <w:lang w:eastAsia="en-US"/>
        </w:rPr>
        <w:t>repurposed bit field/ new bit field would be given. In this case</w:t>
      </w:r>
      <w:r>
        <w:rPr>
          <w:rFonts w:hint="default" w:ascii="Times New Roman" w:hAnsi="Times New Roman" w:eastAsia="MS Mincho" w:cs="Times New Roman"/>
          <w:kern w:val="0"/>
          <w:sz w:val="20"/>
          <w:szCs w:val="20"/>
          <w:lang w:val="en-US" w:eastAsia="en-US"/>
        </w:rPr>
        <w:t>,</w:t>
      </w:r>
      <w:r>
        <w:rPr>
          <w:rFonts w:ascii="Times New Roman" w:hAnsi="Times New Roman" w:eastAsia="MS Mincho" w:cs="Times New Roman"/>
          <w:kern w:val="0"/>
          <w:sz w:val="20"/>
          <w:szCs w:val="20"/>
          <w:lang w:eastAsia="en-US"/>
        </w:rPr>
        <w:t xml:space="preserve"> the single PUCCH transmission should be indicated by the same way as repetition factor does. </w:t>
      </w:r>
      <w:r>
        <w:rPr>
          <w:rFonts w:hint="default" w:ascii="Times New Roman" w:hAnsi="Times New Roman" w:eastAsia="MS Mincho" w:cs="Times New Roman"/>
          <w:kern w:val="0"/>
          <w:sz w:val="20"/>
          <w:szCs w:val="20"/>
          <w:lang w:val="en-US" w:eastAsia="en-US"/>
        </w:rPr>
        <w:t>I</w:t>
      </w:r>
      <w:r>
        <w:rPr>
          <w:rFonts w:ascii="Times New Roman" w:hAnsi="Times New Roman" w:eastAsia="MS Mincho" w:cs="Times New Roman"/>
          <w:kern w:val="0"/>
          <w:sz w:val="20"/>
          <w:szCs w:val="20"/>
          <w:lang w:eastAsia="en-US"/>
        </w:rPr>
        <w:t>f larger number of repetition factor need to be supported, the payload of configuration and indication should be studied, because this is the coverage-limited scenario.</w:t>
      </w:r>
    </w:p>
    <w:p>
      <w:pPr>
        <w:widowControl/>
        <w:spacing w:before="120" w:after="120"/>
        <w:rPr>
          <w:rFonts w:hint="eastAsia" w:ascii="Times New Roman" w:hAnsi="Times New Roman" w:cs="Times New Roman" w:eastAsiaTheme="minorEastAsia"/>
          <w:b/>
          <w:kern w:val="0"/>
          <w:sz w:val="20"/>
          <w:szCs w:val="20"/>
          <w:lang w:eastAsia="zh-CN"/>
        </w:rPr>
      </w:pPr>
      <w:r>
        <w:rPr>
          <w:rFonts w:ascii="Times New Roman" w:hAnsi="Times New Roman" w:eastAsia="MS Mincho" w:cs="Times New Roman"/>
          <w:b/>
          <w:bCs/>
          <w:kern w:val="0"/>
          <w:sz w:val="20"/>
          <w:szCs w:val="20"/>
          <w:lang w:eastAsia="en-US"/>
        </w:rPr>
        <w:t xml:space="preserve">Proposal 2: </w:t>
      </w:r>
      <w:r>
        <w:rPr>
          <w:rFonts w:hint="eastAsia" w:ascii="Times New Roman" w:hAnsi="Times New Roman" w:cs="Times New Roman"/>
          <w:b/>
          <w:kern w:val="0"/>
          <w:sz w:val="20"/>
          <w:szCs w:val="20"/>
        </w:rPr>
        <w:t>D</w:t>
      </w:r>
      <w:r>
        <w:rPr>
          <w:rFonts w:ascii="Times New Roman" w:hAnsi="Times New Roman" w:cs="Times New Roman"/>
          <w:b/>
          <w:kern w:val="0"/>
          <w:sz w:val="20"/>
          <w:szCs w:val="20"/>
        </w:rPr>
        <w:t xml:space="preserve">iscussion about the indication of </w:t>
      </w:r>
      <w:r>
        <w:rPr>
          <w:rFonts w:ascii="Times New Roman" w:hAnsi="Times New Roman" w:cs="Times New Roman"/>
          <w:b/>
          <w:sz w:val="20"/>
          <w:szCs w:val="20"/>
        </w:rPr>
        <w:t>single PUCCH transmission and larger number of transmissions should be deprioritized until the procedure to perform repetitions is confirmed.</w:t>
      </w:r>
    </w:p>
    <w:p>
      <w:pPr>
        <w:pStyle w:val="3"/>
        <w:numPr>
          <w:ilvl w:val="1"/>
          <w:numId w:val="0"/>
        </w:numPr>
        <w:spacing w:before="120" w:after="120"/>
        <w:rPr>
          <w:b/>
          <w:bCs/>
          <w:sz w:val="24"/>
        </w:rPr>
      </w:pPr>
      <w:r>
        <w:rPr>
          <w:b/>
          <w:bCs/>
          <w:sz w:val="24"/>
        </w:rPr>
        <w:t>2.2 DMRS bundling</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Whether DMRS bundling for PUSCH can be supported to meet the NTN coverage performance needs to be further discussed. It is important to study and clarify the issues and possibility to apply DMRS bundling in NTN scenarios, especially for fast time-variant channel. The consideration </w:t>
      </w:r>
      <w:r>
        <w:rPr>
          <w:rFonts w:ascii="Times New Roman" w:hAnsi="Times New Roman" w:eastAsia="Batang" w:cs="Times New Roman"/>
          <w:sz w:val="20"/>
          <w:szCs w:val="20"/>
          <w:lang w:eastAsia="en-US"/>
        </w:rPr>
        <w:t xml:space="preserve">of PUSCH DMRS bundling </w:t>
      </w:r>
      <w:r>
        <w:rPr>
          <w:rFonts w:ascii="Times New Roman" w:hAnsi="Times New Roman" w:cs="Times New Roman"/>
          <w:bCs/>
          <w:iCs/>
          <w:sz w:val="20"/>
          <w:szCs w:val="20"/>
        </w:rPr>
        <w:t xml:space="preserve">in last RAN1 meeting are shown as </w:t>
      </w:r>
      <w:r>
        <w:rPr>
          <w:rFonts w:hint="default" w:ascii="Times New Roman" w:hAnsi="Times New Roman" w:cs="Times New Roman"/>
          <w:bCs/>
          <w:iCs/>
          <w:sz w:val="20"/>
          <w:szCs w:val="20"/>
          <w:lang w:val="en-US"/>
        </w:rPr>
        <w:t>below</w:t>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0" w:hRule="atLeast"/>
        </w:trPr>
        <w:tc>
          <w:tcPr>
            <w:tcW w:w="9919" w:type="dxa"/>
          </w:tcPr>
          <w:p>
            <w:pPr>
              <w:spacing w:before="120" w:beforeLines="50" w:after="120" w:afterLines="50"/>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NTN-specific PUSCH DMRS bundling,</w:t>
            </w:r>
          </w:p>
          <w:p>
            <w:pPr>
              <w:numPr>
                <w:ilvl w:val="0"/>
                <w:numId w:val="13"/>
              </w:numPr>
              <w:snapToGrid w:val="0"/>
              <w:ind w:left="72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Discuss further the need of enhancement in consideration of at least the following:</w:t>
            </w:r>
          </w:p>
          <w:p>
            <w:pPr>
              <w:numPr>
                <w:ilvl w:val="1"/>
                <w:numId w:val="13"/>
              </w:numPr>
              <w:snapToGrid w:val="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Phase difference due to timing drift and/or doppler shift.</w:t>
            </w:r>
          </w:p>
          <w:p>
            <w:pPr>
              <w:numPr>
                <w:ilvl w:val="2"/>
                <w:numId w:val="13"/>
              </w:numPr>
              <w:snapToGrid w:val="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pPr>
              <w:numPr>
                <w:ilvl w:val="1"/>
                <w:numId w:val="13"/>
              </w:numPr>
              <w:snapToGrid w:val="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An event which causes power consistency and phase continuity not to be maintained.</w:t>
            </w:r>
          </w:p>
          <w:p>
            <w:pPr>
              <w:numPr>
                <w:ilvl w:val="2"/>
                <w:numId w:val="13"/>
              </w:numPr>
              <w:snapToGrid w:val="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e.g., whether the new event is necessary to determine actual TDW(s) from each nominal TDW or the existing specification can work without any specification change or whether such event may not occur depending on implementations, etc.</w:t>
            </w:r>
          </w:p>
          <w:p>
            <w:pPr>
              <w:numPr>
                <w:ilvl w:val="1"/>
                <w:numId w:val="13"/>
              </w:numPr>
              <w:snapToGrid w:val="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Note: baseline performance for legacy UEs can include antenna switching</w:t>
            </w: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NTN is a FDD system which has consecutive slots, so more opportunit</w:t>
      </w:r>
      <w:r>
        <w:rPr>
          <w:rFonts w:ascii="Times New Roman" w:hAnsi="Times New Roman" w:cs="Times New Roman"/>
          <w:bCs/>
          <w:iCs/>
          <w:sz w:val="20"/>
          <w:szCs w:val="20"/>
        </w:rPr>
        <w:t>ies</w:t>
      </w:r>
      <w:r>
        <w:rPr>
          <w:rFonts w:hint="eastAsia" w:ascii="Times New Roman" w:hAnsi="Times New Roman" w:cs="Times New Roman"/>
          <w:bCs/>
          <w:iCs/>
          <w:sz w:val="20"/>
          <w:szCs w:val="20"/>
        </w:rPr>
        <w:t xml:space="preserve"> can be expected for DMRS bundling. From Rel-17 CE observation, merg</w:t>
      </w:r>
      <w:r>
        <w:rPr>
          <w:rFonts w:ascii="Times New Roman" w:hAnsi="Times New Roman" w:cs="Times New Roman"/>
          <w:bCs/>
          <w:iCs/>
          <w:sz w:val="20"/>
          <w:szCs w:val="20"/>
        </w:rPr>
        <w:t>ing</w:t>
      </w:r>
      <w:r>
        <w:rPr>
          <w:rFonts w:hint="eastAsia" w:ascii="Times New Roman" w:hAnsi="Times New Roman" w:cs="Times New Roman"/>
          <w:bCs/>
          <w:iCs/>
          <w:sz w:val="20"/>
          <w:szCs w:val="20"/>
        </w:rPr>
        <w:t xml:space="preserve"> more slots to perform joint channel estimation may have a better gain. The main challenge for DMRS bundling in NTN is whether the channel correlation can be ensured between slots </w:t>
      </w:r>
      <w:r>
        <w:rPr>
          <w:rFonts w:ascii="Times New Roman" w:hAnsi="Times New Roman" w:cs="Times New Roman"/>
          <w:bCs/>
          <w:iCs/>
          <w:sz w:val="20"/>
          <w:szCs w:val="20"/>
        </w:rPr>
        <w:t>for fast time-variant channel with large time and frequency shift</w:t>
      </w:r>
      <w:r>
        <w:rPr>
          <w:rFonts w:hint="eastAsia" w:ascii="Times New Roman" w:hAnsi="Times New Roman" w:cs="Times New Roman"/>
          <w:bCs/>
          <w:iCs/>
          <w:sz w:val="20"/>
          <w:szCs w:val="20"/>
        </w:rPr>
        <w:t xml:space="preserve">, which need more </w:t>
      </w:r>
      <w:r>
        <w:rPr>
          <w:rFonts w:ascii="Times New Roman" w:hAnsi="Times New Roman" w:cs="Times New Roman"/>
          <w:bCs/>
          <w:iCs/>
          <w:sz w:val="20"/>
          <w:szCs w:val="20"/>
        </w:rPr>
        <w:t>evaluation</w:t>
      </w:r>
      <w:r>
        <w:rPr>
          <w:rFonts w:hint="eastAsia" w:ascii="Times New Roman" w:hAnsi="Times New Roman" w:cs="Times New Roman"/>
          <w:bCs/>
          <w:iCs/>
          <w:sz w:val="20"/>
          <w:szCs w:val="20"/>
        </w:rPr>
        <w:t xml:space="preserve"> and discussion.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According to the timing error requirements specified in TS 38.133, the maximum timing error boundary that </w:t>
      </w:r>
      <w:r>
        <w:rPr>
          <w:rFonts w:hint="eastAsia" w:ascii="Times New Roman" w:hAnsi="Times New Roman" w:cs="Times New Roman"/>
          <w:bCs/>
          <w:iCs/>
          <w:sz w:val="20"/>
          <w:szCs w:val="20"/>
        </w:rPr>
        <w:t>the UE is required to</w:t>
      </w:r>
      <w:r>
        <w:rPr>
          <w:rFonts w:ascii="Times New Roman" w:hAnsi="Times New Roman" w:cs="Times New Roman"/>
          <w:bCs/>
          <w:iCs/>
          <w:sz w:val="20"/>
          <w:szCs w:val="20"/>
        </w:rPr>
        <w:t xml:space="preserve"> </w:t>
      </w:r>
      <w:r>
        <w:rPr>
          <w:rFonts w:hint="eastAsia" w:ascii="Times New Roman" w:hAnsi="Times New Roman" w:cs="Times New Roman"/>
          <w:bCs/>
          <w:iCs/>
          <w:sz w:val="20"/>
          <w:szCs w:val="20"/>
        </w:rPr>
        <w:t>adjust its timing</w:t>
      </w:r>
      <w:r>
        <w:rPr>
          <w:rFonts w:ascii="Times New Roman" w:hAnsi="Times New Roman" w:cs="Times New Roman"/>
          <w:bCs/>
          <w:iCs/>
          <w:sz w:val="20"/>
          <w:szCs w:val="20"/>
        </w:rPr>
        <w:t xml:space="preserve"> is about 29*64*Tc ≈ 0.928 us. Taking the worst case when the satellite moves towards/away from the UE at 10⁰ elevation angle and a maximum 93 us/s delay variation is assumed based on TR 38.821 as an example, only about 10 ms continuous transmission time can be maintained. Therefore, the TDW size need to be reconsidered by taking NTN-specific requirements into consideration.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While for the Doppler shift, considering the</w:t>
      </w:r>
      <w:r>
        <w:rPr>
          <w:rFonts w:ascii="Times New Roman" w:hAnsi="Times New Roman" w:cs="Times New Roman"/>
          <w:sz w:val="20"/>
          <w:szCs w:val="20"/>
        </w:rPr>
        <w:t xml:space="preserve"> </w:t>
      </w:r>
      <w:r>
        <w:rPr>
          <w:rFonts w:ascii="Times New Roman" w:hAnsi="Times New Roman" w:cs="Times New Roman"/>
          <w:bCs/>
          <w:iCs/>
          <w:sz w:val="20"/>
          <w:szCs w:val="20"/>
        </w:rPr>
        <w:t xml:space="preserve">max Doppler shift variation based on TR38.821, the change of Doppler shift will be less than </w:t>
      </w:r>
      <w:r>
        <w:rPr>
          <w:rFonts w:ascii="Times New Roman" w:hAnsi="Times New Roman" w:cs="Times New Roman"/>
          <w:sz w:val="20"/>
          <w:szCs w:val="20"/>
        </w:rPr>
        <w:t>± 0.1 PPM within 20 ms, which seems to have little impact on the consideration of TDW size.</w:t>
      </w:r>
    </w:p>
    <w:p>
      <w:pPr>
        <w:spacing w:before="120" w:beforeLines="50" w:after="120" w:afterLines="50"/>
        <w:rPr>
          <w:rFonts w:ascii="Times New Roman" w:hAnsi="Times New Roman" w:cs="Times New Roman"/>
          <w:b/>
          <w:iCs/>
          <w:sz w:val="20"/>
          <w:szCs w:val="20"/>
        </w:rPr>
      </w:pPr>
      <w:r>
        <w:rPr>
          <w:rFonts w:ascii="Times New Roman" w:hAnsi="Times New Roman" w:cs="Times New Roman"/>
          <w:b/>
          <w:i/>
          <w:iCs w:val="0"/>
          <w:sz w:val="20"/>
          <w:szCs w:val="20"/>
        </w:rPr>
        <w:t>Observation 2</w:t>
      </w:r>
      <w:r>
        <w:rPr>
          <w:rFonts w:ascii="Times New Roman" w:hAnsi="Times New Roman" w:cs="Times New Roman"/>
          <w:b/>
          <w:iCs/>
          <w:sz w:val="20"/>
          <w:szCs w:val="20"/>
        </w:rPr>
        <w:t xml:space="preserve">: </w:t>
      </w:r>
      <w:r>
        <w:rPr>
          <w:rFonts w:ascii="Times New Roman" w:hAnsi="Times New Roman" w:cs="Times New Roman"/>
          <w:b/>
          <w:iCs/>
          <w:sz w:val="20"/>
          <w:szCs w:val="20"/>
        </w:rPr>
        <w:tab/>
      </w:r>
      <w:r>
        <w:rPr>
          <w:rFonts w:ascii="Times New Roman" w:hAnsi="Times New Roman" w:cs="Times New Roman"/>
          <w:b/>
          <w:iCs/>
          <w:sz w:val="20"/>
          <w:szCs w:val="20"/>
        </w:rPr>
        <w:t xml:space="preserve">Considering the large timing drift </w:t>
      </w:r>
      <w:r>
        <w:rPr>
          <w:rFonts w:hint="default" w:ascii="Times New Roman" w:hAnsi="Times New Roman" w:cs="Times New Roman"/>
          <w:b/>
          <w:iCs/>
          <w:sz w:val="20"/>
          <w:szCs w:val="20"/>
          <w:lang w:val="en-US"/>
        </w:rPr>
        <w:t xml:space="preserve">variation </w:t>
      </w:r>
      <w:r>
        <w:rPr>
          <w:rFonts w:ascii="Times New Roman" w:hAnsi="Times New Roman" w:cs="Times New Roman"/>
          <w:b/>
          <w:iCs/>
          <w:sz w:val="20"/>
          <w:szCs w:val="20"/>
        </w:rPr>
        <w:t>with the timing error requirement that up to 29Ts, the length of TDW need to be less than 20 ms in the LEO-1200 satellite scenarios.</w:t>
      </w:r>
    </w:p>
    <w:p>
      <w:pPr>
        <w:spacing w:before="120" w:beforeLines="50" w:after="120" w:afterLines="50"/>
        <w:rPr>
          <w:rFonts w:ascii="Times New Roman" w:hAnsi="Times New Roman" w:cs="Times New Roman"/>
          <w:b/>
          <w:bCs/>
          <w:iCs/>
          <w:sz w:val="20"/>
          <w:szCs w:val="20"/>
        </w:rPr>
      </w:pPr>
      <w:r>
        <w:rPr>
          <w:rFonts w:ascii="Times New Roman" w:hAnsi="Times New Roman" w:cs="Times New Roman"/>
          <w:b/>
          <w:bCs/>
          <w:i/>
          <w:iCs w:val="0"/>
          <w:sz w:val="20"/>
          <w:szCs w:val="20"/>
        </w:rPr>
        <w:t>Observation</w:t>
      </w:r>
      <w:r>
        <w:rPr>
          <w:rFonts w:hint="default" w:ascii="Times New Roman" w:hAnsi="Times New Roman" w:cs="Times New Roman"/>
          <w:b/>
          <w:bCs/>
          <w:i/>
          <w:iCs w:val="0"/>
          <w:sz w:val="20"/>
          <w:szCs w:val="20"/>
          <w:lang w:val="en-US"/>
        </w:rPr>
        <w:t xml:space="preserve"> </w:t>
      </w:r>
      <w:r>
        <w:rPr>
          <w:rFonts w:ascii="Times New Roman" w:hAnsi="Times New Roman" w:cs="Times New Roman"/>
          <w:b/>
          <w:bCs/>
          <w:i/>
          <w:iCs w:val="0"/>
          <w:sz w:val="20"/>
          <w:szCs w:val="20"/>
        </w:rPr>
        <w:t>3</w:t>
      </w:r>
      <w:r>
        <w:rPr>
          <w:rFonts w:ascii="Times New Roman" w:hAnsi="Times New Roman" w:cs="Times New Roman"/>
          <w:b/>
          <w:bCs/>
          <w:iCs/>
          <w:sz w:val="20"/>
          <w:szCs w:val="20"/>
        </w:rPr>
        <w:t>: The Doppler shift variation within 20 ms would be smaller than 0.1 ppm frequency error requirement.</w:t>
      </w:r>
    </w:p>
    <w:p>
      <w:pPr>
        <w:adjustRightInd w:val="0"/>
        <w:snapToGrid w:val="0"/>
        <w:rPr>
          <w:rFonts w:ascii="Times New Roman" w:hAnsi="Times New Roman" w:cs="Times New Roman"/>
          <w:sz w:val="20"/>
          <w:szCs w:val="20"/>
        </w:rPr>
      </w:pPr>
      <w:r>
        <w:rPr>
          <w:rFonts w:hint="eastAsia" w:ascii="Times New Roman" w:hAnsi="Times New Roman" w:cs="Times New Roman"/>
          <w:b/>
          <w:iCs/>
          <w:sz w:val="20"/>
          <w:szCs w:val="20"/>
        </w:rPr>
        <w:t xml:space="preserve">Proposal </w:t>
      </w:r>
      <w:r>
        <w:rPr>
          <w:rFonts w:ascii="Times New Roman" w:hAnsi="Times New Roman" w:cs="Times New Roman"/>
          <w:b/>
          <w:iCs/>
          <w:sz w:val="20"/>
          <w:szCs w:val="20"/>
        </w:rPr>
        <w:t>3</w:t>
      </w:r>
      <w:r>
        <w:rPr>
          <w:rFonts w:hint="eastAsia" w:ascii="Times New Roman" w:hAnsi="Times New Roman" w:cs="Times New Roman"/>
          <w:b/>
          <w:iCs/>
          <w:sz w:val="20"/>
          <w:szCs w:val="20"/>
        </w:rPr>
        <w:t>:</w:t>
      </w:r>
      <w:r>
        <w:rPr>
          <w:rFonts w:ascii="Times New Roman" w:hAnsi="Times New Roman" w:cs="Times New Roman"/>
          <w:b/>
          <w:iCs/>
          <w:sz w:val="20"/>
          <w:szCs w:val="20"/>
        </w:rPr>
        <w:t xml:space="preserve"> For the enhancement of PUSCH DMRS bundling, it is necessary to take timing drift into consideration in NTN scenarios</w:t>
      </w:r>
      <w:r>
        <w:rPr>
          <w:rFonts w:hint="eastAsia" w:ascii="Times New Roman" w:hAnsi="Times New Roman" w:cs="Times New Roman"/>
          <w:b/>
          <w:iCs/>
          <w:sz w:val="20"/>
          <w:szCs w:val="20"/>
        </w:rPr>
        <w:t>.</w:t>
      </w:r>
    </w:p>
    <w:p>
      <w:pPr>
        <w:spacing w:before="120" w:beforeLines="50" w:after="120" w:afterLines="50"/>
        <w:rPr>
          <w:rFonts w:ascii="Times New Roman" w:hAnsi="Times New Roman" w:cs="Times New Roman"/>
          <w:sz w:val="20"/>
          <w:szCs w:val="20"/>
          <w:highlight w:val="none"/>
        </w:rPr>
      </w:pPr>
      <w:r>
        <w:rPr>
          <w:rFonts w:ascii="Times New Roman" w:hAnsi="Times New Roman" w:cs="Times New Roman"/>
          <w:bCs/>
          <w:iCs/>
          <w:sz w:val="20"/>
          <w:szCs w:val="20"/>
          <w:highlight w:val="none"/>
        </w:rPr>
        <w:t>Another main issue is the impact on DMRS bundling in NTN LEO scenarios considering the time and frequency pre-compensation, the phase discontinuity due to applying TA pre-compensation may be very significant for large UL bandwidth.</w:t>
      </w:r>
      <w:r>
        <w:rPr>
          <w:rFonts w:hint="default" w:ascii="Times New Roman" w:hAnsi="Times New Roman" w:cs="Times New Roman"/>
          <w:bCs/>
          <w:iCs/>
          <w:sz w:val="20"/>
          <w:szCs w:val="20"/>
          <w:highlight w:val="none"/>
          <w:lang w:val="en-US"/>
        </w:rPr>
        <w:t xml:space="preserve"> </w:t>
      </w:r>
      <w:r>
        <w:rPr>
          <w:rFonts w:ascii="Times New Roman" w:hAnsi="Times New Roman" w:cs="Times New Roman"/>
          <w:bCs/>
          <w:iCs/>
          <w:sz w:val="20"/>
          <w:szCs w:val="20"/>
          <w:highlight w:val="none"/>
        </w:rPr>
        <w:t>Thus, i</w:t>
      </w:r>
      <w:r>
        <w:rPr>
          <w:rFonts w:hint="eastAsia" w:ascii="Times New Roman" w:hAnsi="Times New Roman" w:cs="Times New Roman"/>
          <w:sz w:val="20"/>
          <w:szCs w:val="20"/>
          <w:highlight w:val="none"/>
        </w:rPr>
        <w:t xml:space="preserve">t should be regarded as a event which cause power consistency and phase continuity not to be maintained when the UE changes its </w:t>
      </w:r>
      <w:r>
        <w:rPr>
          <w:rFonts w:ascii="Times New Roman" w:hAnsi="Times New Roman" w:cs="Times New Roman"/>
          <w:sz w:val="20"/>
          <w:szCs w:val="20"/>
          <w:highlight w:val="none"/>
        </w:rPr>
        <w:t>time and</w:t>
      </w:r>
      <w:r>
        <w:rPr>
          <w:rFonts w:hint="eastAsia" w:ascii="Times New Roman" w:hAnsi="Times New Roman" w:cs="Times New Roman"/>
          <w:sz w:val="20"/>
          <w:szCs w:val="20"/>
          <w:highlight w:val="none"/>
        </w:rPr>
        <w:t>/or</w:t>
      </w:r>
      <w:r>
        <w:rPr>
          <w:rFonts w:ascii="Times New Roman" w:hAnsi="Times New Roman" w:cs="Times New Roman"/>
          <w:sz w:val="20"/>
          <w:szCs w:val="20"/>
          <w:highlight w:val="none"/>
        </w:rPr>
        <w:t xml:space="preserve"> frequency pre-compensation</w:t>
      </w:r>
      <w:r>
        <w:rPr>
          <w:rFonts w:hint="eastAsia" w:ascii="Times New Roman" w:hAnsi="Times New Roman" w:cs="Times New Roman"/>
          <w:sz w:val="20"/>
          <w:szCs w:val="20"/>
          <w:highlight w:val="none"/>
        </w:rPr>
        <w:t xml:space="preserve">. A </w:t>
      </w:r>
      <w:r>
        <w:rPr>
          <w:rFonts w:ascii="Times New Roman" w:hAnsi="Times New Roman" w:cs="Times New Roman"/>
          <w:bCs/>
          <w:sz w:val="20"/>
          <w:szCs w:val="20"/>
          <w:highlight w:val="none"/>
        </w:rPr>
        <w:t>UE self-estimated TA to pre-compensate for the service link delay, which is calculated using the UE position and the serving satellite ephemeris</w:t>
      </w:r>
      <w:r>
        <w:rPr>
          <w:rFonts w:hint="eastAsia" w:ascii="Times New Roman" w:hAnsi="Times New Roman" w:cs="Times New Roman"/>
          <w:bCs/>
          <w:sz w:val="20"/>
          <w:szCs w:val="20"/>
          <w:highlight w:val="none"/>
        </w:rPr>
        <w:t>, may be transparent for gNB. In this case</w:t>
      </w:r>
      <w:r>
        <w:rPr>
          <w:rFonts w:ascii="Times New Roman" w:hAnsi="Times New Roman" w:cs="Times New Roman"/>
          <w:bCs/>
          <w:sz w:val="20"/>
          <w:szCs w:val="20"/>
          <w:highlight w:val="none"/>
        </w:rPr>
        <w:t>,</w:t>
      </w:r>
      <w:r>
        <w:rPr>
          <w:rFonts w:hint="eastAsia" w:ascii="Times New Roman" w:hAnsi="Times New Roman" w:cs="Times New Roman"/>
          <w:bCs/>
          <w:sz w:val="20"/>
          <w:szCs w:val="20"/>
          <w:highlight w:val="none"/>
        </w:rPr>
        <w:t xml:space="preserve"> gNB and UE may have misunderstanding about the a</w:t>
      </w:r>
      <w:r>
        <w:rPr>
          <w:rFonts w:ascii="Times New Roman" w:hAnsi="Times New Roman" w:cs="Times New Roman"/>
          <w:bCs/>
          <w:sz w:val="20"/>
          <w:szCs w:val="20"/>
          <w:highlight w:val="none"/>
        </w:rPr>
        <w:t xml:space="preserve">ctual </w:t>
      </w:r>
      <w:r>
        <w:rPr>
          <w:rFonts w:hint="eastAsia" w:ascii="Times New Roman" w:hAnsi="Times New Roman" w:cs="Times New Roman"/>
          <w:bCs/>
          <w:sz w:val="20"/>
          <w:szCs w:val="20"/>
          <w:highlight w:val="none"/>
        </w:rPr>
        <w:t xml:space="preserve">TDW. To solve this problem, UE may have the restriction of only change its </w:t>
      </w:r>
      <w:r>
        <w:rPr>
          <w:rFonts w:ascii="Times New Roman" w:hAnsi="Times New Roman" w:cs="Times New Roman"/>
          <w:bCs/>
          <w:sz w:val="20"/>
          <w:szCs w:val="20"/>
          <w:highlight w:val="none"/>
        </w:rPr>
        <w:t>self-estimated TA</w:t>
      </w:r>
      <w:r>
        <w:rPr>
          <w:rFonts w:hint="eastAsia" w:ascii="Times New Roman" w:hAnsi="Times New Roman" w:cs="Times New Roman"/>
          <w:bCs/>
          <w:sz w:val="20"/>
          <w:szCs w:val="20"/>
          <w:highlight w:val="none"/>
        </w:rPr>
        <w:t xml:space="preserve"> in between two a</w:t>
      </w:r>
      <w:r>
        <w:rPr>
          <w:rFonts w:ascii="Times New Roman" w:hAnsi="Times New Roman" w:cs="Times New Roman"/>
          <w:bCs/>
          <w:sz w:val="20"/>
          <w:szCs w:val="20"/>
          <w:highlight w:val="none"/>
        </w:rPr>
        <w:t xml:space="preserve">ctual </w:t>
      </w:r>
      <w:r>
        <w:rPr>
          <w:rFonts w:hint="eastAsia" w:ascii="Times New Roman" w:hAnsi="Times New Roman" w:cs="Times New Roman"/>
          <w:bCs/>
          <w:sz w:val="20"/>
          <w:szCs w:val="20"/>
          <w:highlight w:val="none"/>
        </w:rPr>
        <w:t xml:space="preserve">TDWs. Depending on how frequent UE would perform </w:t>
      </w:r>
      <w:r>
        <w:rPr>
          <w:rFonts w:ascii="Times New Roman" w:hAnsi="Times New Roman" w:cs="Times New Roman"/>
          <w:bCs/>
          <w:sz w:val="20"/>
          <w:szCs w:val="20"/>
          <w:highlight w:val="none"/>
        </w:rPr>
        <w:t>self-estimated TA</w:t>
      </w:r>
      <w:r>
        <w:rPr>
          <w:rFonts w:hint="eastAsia" w:ascii="Times New Roman" w:hAnsi="Times New Roman" w:cs="Times New Roman"/>
          <w:bCs/>
          <w:sz w:val="20"/>
          <w:szCs w:val="20"/>
          <w:highlight w:val="none"/>
        </w:rPr>
        <w:t xml:space="preserve"> </w:t>
      </w:r>
      <w:r>
        <w:rPr>
          <w:rFonts w:ascii="Times New Roman" w:hAnsi="Times New Roman" w:cs="Times New Roman"/>
          <w:bCs/>
          <w:sz w:val="20"/>
          <w:szCs w:val="20"/>
          <w:highlight w:val="none"/>
        </w:rPr>
        <w:t>pre-compensate</w:t>
      </w:r>
      <w:r>
        <w:rPr>
          <w:rFonts w:hint="eastAsia" w:ascii="Times New Roman" w:hAnsi="Times New Roman" w:cs="Times New Roman"/>
          <w:bCs/>
          <w:sz w:val="20"/>
          <w:szCs w:val="20"/>
          <w:highlight w:val="none"/>
        </w:rPr>
        <w:t xml:space="preserve"> adjustment, the priority between the time pre-compensation and DMRS bundling should be discussed. The same issue also apply to the frequency pre-compensation.</w:t>
      </w:r>
    </w:p>
    <w:p>
      <w:pPr>
        <w:rPr>
          <w:rFonts w:ascii="Times New Roman" w:hAnsi="Times New Roman" w:cs="Times New Roman"/>
          <w:b/>
          <w:bCs/>
          <w:sz w:val="20"/>
          <w:szCs w:val="20"/>
          <w:highlight w:val="none"/>
        </w:rPr>
      </w:pPr>
      <w:r>
        <w:rPr>
          <w:rFonts w:hint="eastAsia" w:ascii="Times New Roman" w:hAnsi="Times New Roman" w:cs="Times New Roman"/>
          <w:b/>
          <w:bCs/>
          <w:sz w:val="20"/>
          <w:szCs w:val="20"/>
          <w:highlight w:val="none"/>
        </w:rPr>
        <w:t xml:space="preserve">Proposal </w:t>
      </w:r>
      <w:r>
        <w:rPr>
          <w:rFonts w:ascii="Times New Roman" w:hAnsi="Times New Roman" w:cs="Times New Roman"/>
          <w:b/>
          <w:bCs/>
          <w:sz w:val="20"/>
          <w:szCs w:val="20"/>
          <w:highlight w:val="none"/>
        </w:rPr>
        <w:t>4</w:t>
      </w:r>
      <w:r>
        <w:rPr>
          <w:rFonts w:hint="eastAsia" w:ascii="Times New Roman" w:hAnsi="Times New Roman" w:cs="Times New Roman"/>
          <w:b/>
          <w:bCs/>
          <w:sz w:val="20"/>
          <w:szCs w:val="20"/>
          <w:highlight w:val="none"/>
        </w:rPr>
        <w:t>:</w:t>
      </w:r>
      <w:r>
        <w:rPr>
          <w:rFonts w:ascii="Times New Roman" w:hAnsi="Times New Roman" w:cs="Times New Roman"/>
          <w:b/>
          <w:bCs/>
          <w:sz w:val="20"/>
          <w:szCs w:val="20"/>
          <w:highlight w:val="none"/>
        </w:rPr>
        <w:t xml:space="preserve"> </w:t>
      </w:r>
      <w:r>
        <w:rPr>
          <w:rFonts w:hint="eastAsia" w:ascii="Times New Roman" w:hAnsi="Times New Roman" w:cs="Times New Roman"/>
          <w:b/>
          <w:bCs/>
          <w:sz w:val="20"/>
          <w:szCs w:val="20"/>
          <w:highlight w:val="none"/>
        </w:rPr>
        <w:t xml:space="preserve">Study the restriction and influence between DMRS bundling and </w:t>
      </w:r>
      <w:r>
        <w:rPr>
          <w:rFonts w:ascii="Times New Roman" w:hAnsi="Times New Roman" w:cs="Times New Roman"/>
          <w:b/>
          <w:bCs/>
          <w:sz w:val="20"/>
          <w:szCs w:val="20"/>
          <w:highlight w:val="none"/>
        </w:rPr>
        <w:t>time and frequency pre-compensation</w:t>
      </w:r>
      <w:r>
        <w:rPr>
          <w:rFonts w:hint="eastAsia" w:ascii="Times New Roman" w:hAnsi="Times New Roman" w:cs="Times New Roman"/>
          <w:b/>
          <w:bCs/>
          <w:sz w:val="20"/>
          <w:szCs w:val="20"/>
          <w:highlight w:val="none"/>
        </w:rPr>
        <w:t>.</w:t>
      </w:r>
    </w:p>
    <w:bookmarkEnd w:id="4"/>
    <w:p>
      <w:pPr>
        <w:pStyle w:val="2"/>
        <w:numPr>
          <w:ilvl w:val="0"/>
          <w:numId w:val="10"/>
        </w:numPr>
        <w:pBdr>
          <w:top w:val="single" w:color="auto" w:sz="8" w:space="1"/>
          <w:left w:val="none" w:color="auto" w:sz="0" w:space="4"/>
          <w:bottom w:val="none" w:color="auto" w:sz="0" w:space="1"/>
          <w:right w:val="none" w:color="auto" w:sz="0" w:space="4"/>
        </w:pBdr>
        <w:spacing w:before="240" w:beforeLines="0" w:after="180" w:afterLines="0"/>
        <w:ind w:left="363" w:hanging="363"/>
        <w:rPr>
          <w:rFonts w:ascii="Times New Roman" w:hAnsi="Times New Roman"/>
          <w:sz w:val="28"/>
          <w:szCs w:val="28"/>
        </w:rPr>
      </w:pPr>
      <w:r>
        <w:rPr>
          <w:rFonts w:ascii="Times New Roman" w:hAnsi="Times New Roman"/>
          <w:sz w:val="28"/>
          <w:szCs w:val="28"/>
        </w:rPr>
        <w:t>Conclusions</w:t>
      </w:r>
    </w:p>
    <w:p>
      <w:pPr>
        <w:spacing w:before="0" w:beforeLines="50" w:after="0" w:afterLines="5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on some issues on coverage enhancement to NTN scenarios</w:t>
      </w:r>
      <w:r>
        <w:rPr>
          <w:rFonts w:ascii="Times New Roman" w:hAnsi="Times New Roman" w:cs="Times New Roman"/>
          <w:sz w:val="20"/>
          <w:szCs w:val="20"/>
          <w:lang w:val="en-GB"/>
        </w:rPr>
        <w:t>. The observations and proposals are summarized as follows:</w:t>
      </w:r>
    </w:p>
    <w:p>
      <w:pPr>
        <w:spacing w:before="0" w:beforeLines="50" w:after="0" w:afterLines="50"/>
        <w:rPr>
          <w:rFonts w:ascii="Times New Roman" w:hAnsi="Times New Roman" w:eastAsia="宋体" w:cs="Times New Roman"/>
          <w:b/>
          <w:bCs/>
          <w:kern w:val="0"/>
          <w:sz w:val="20"/>
          <w:szCs w:val="20"/>
          <w:highlight w:val="none"/>
        </w:rPr>
      </w:pPr>
      <w:r>
        <w:rPr>
          <w:rFonts w:hint="eastAsia" w:ascii="Times New Roman" w:hAnsi="Times New Roman" w:eastAsia="宋体" w:cs="Times New Roman"/>
          <w:b/>
          <w:bCs/>
          <w:i/>
          <w:iCs/>
          <w:kern w:val="0"/>
          <w:sz w:val="20"/>
          <w:szCs w:val="20"/>
          <w:highlight w:val="none"/>
        </w:rPr>
        <w:t>Observat</w:t>
      </w:r>
      <w:bookmarkStart w:id="19" w:name="_GoBack"/>
      <w:bookmarkEnd w:id="19"/>
      <w:r>
        <w:rPr>
          <w:rFonts w:hint="eastAsia" w:ascii="Times New Roman" w:hAnsi="Times New Roman" w:eastAsia="宋体" w:cs="Times New Roman"/>
          <w:b/>
          <w:bCs/>
          <w:i/>
          <w:iCs/>
          <w:kern w:val="0"/>
          <w:sz w:val="20"/>
          <w:szCs w:val="20"/>
          <w:highlight w:val="none"/>
        </w:rPr>
        <w:t>ion</w:t>
      </w:r>
      <w:r>
        <w:rPr>
          <w:rFonts w:ascii="Times New Roman" w:hAnsi="Times New Roman" w:eastAsia="宋体" w:cs="Times New Roman"/>
          <w:b/>
          <w:bCs/>
          <w:i/>
          <w:iCs/>
          <w:kern w:val="0"/>
          <w:sz w:val="20"/>
          <w:szCs w:val="20"/>
          <w:highlight w:val="none"/>
        </w:rPr>
        <w:t xml:space="preserve"> 1</w:t>
      </w:r>
      <w:r>
        <w:rPr>
          <w:rFonts w:hint="eastAsia" w:ascii="Times New Roman" w:hAnsi="Times New Roman" w:eastAsia="宋体" w:cs="Times New Roman"/>
          <w:b/>
          <w:bCs/>
          <w:kern w:val="0"/>
          <w:sz w:val="20"/>
          <w:szCs w:val="20"/>
          <w:highlight w:val="none"/>
        </w:rPr>
        <w:t>: Option 1 is reasonable if all the UEs in a NTN cell suffering from a similar bad channel condition.</w:t>
      </w:r>
    </w:p>
    <w:p>
      <w:pPr>
        <w:spacing w:before="0" w:beforeLines="50" w:after="0" w:afterLines="50"/>
        <w:rPr>
          <w:rFonts w:ascii="Times New Roman" w:hAnsi="Times New Roman" w:cs="Times New Roman"/>
          <w:b/>
          <w:iCs/>
          <w:sz w:val="20"/>
          <w:szCs w:val="20"/>
        </w:rPr>
      </w:pPr>
      <w:r>
        <w:rPr>
          <w:rFonts w:ascii="Times New Roman" w:hAnsi="Times New Roman" w:cs="Times New Roman"/>
          <w:b/>
          <w:i/>
          <w:iCs w:val="0"/>
          <w:sz w:val="20"/>
          <w:szCs w:val="20"/>
        </w:rPr>
        <w:t>Observation 2</w:t>
      </w:r>
      <w:r>
        <w:rPr>
          <w:rFonts w:ascii="Times New Roman" w:hAnsi="Times New Roman" w:cs="Times New Roman"/>
          <w:b/>
          <w:iCs/>
          <w:sz w:val="20"/>
          <w:szCs w:val="20"/>
        </w:rPr>
        <w:t>:</w:t>
      </w:r>
      <w:r>
        <w:rPr>
          <w:rFonts w:ascii="Times New Roman" w:hAnsi="Times New Roman" w:cs="Times New Roman"/>
          <w:b/>
          <w:iCs/>
          <w:sz w:val="20"/>
          <w:szCs w:val="20"/>
        </w:rPr>
        <w:tab/>
      </w:r>
      <w:r>
        <w:rPr>
          <w:rFonts w:ascii="Times New Roman" w:hAnsi="Times New Roman" w:cs="Times New Roman"/>
          <w:b/>
          <w:iCs/>
          <w:sz w:val="20"/>
          <w:szCs w:val="20"/>
        </w:rPr>
        <w:t>Considering the large timing drift with the timing error requirement that up to 29Ts, the length of TDW need to be less than 20 ms in the LEO-1200 satellite scenarios.</w:t>
      </w:r>
    </w:p>
    <w:p>
      <w:pPr>
        <w:spacing w:before="0" w:beforeLines="50" w:after="0" w:afterLines="50"/>
        <w:rPr>
          <w:rFonts w:ascii="Times New Roman" w:hAnsi="Times New Roman" w:cs="Times New Roman"/>
        </w:rPr>
      </w:pPr>
      <w:r>
        <w:rPr>
          <w:rFonts w:ascii="Times New Roman" w:hAnsi="Times New Roman" w:cs="Times New Roman"/>
          <w:b/>
          <w:bCs/>
          <w:i/>
          <w:iCs w:val="0"/>
          <w:sz w:val="20"/>
          <w:szCs w:val="20"/>
        </w:rPr>
        <w:t>Observation 3</w:t>
      </w:r>
      <w:r>
        <w:rPr>
          <w:rFonts w:ascii="Times New Roman" w:hAnsi="Times New Roman" w:cs="Times New Roman"/>
          <w:b/>
          <w:bCs/>
          <w:iCs/>
          <w:sz w:val="20"/>
          <w:szCs w:val="20"/>
        </w:rPr>
        <w:t>: The Doppler shift variation within 20 ms would be smaller than 0.1 ppm frequency error requirement.</w:t>
      </w:r>
    </w:p>
    <w:p>
      <w:pPr>
        <w:adjustRightInd w:val="0"/>
        <w:snapToGrid w:val="0"/>
        <w:spacing w:before="0" w:beforeLines="50" w:after="0" w:afterLines="50"/>
        <w:rPr>
          <w:rFonts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Proposal 1:</w:t>
      </w:r>
      <w:r>
        <w:rPr>
          <w:rFonts w:ascii="Times New Roman" w:hAnsi="Times New Roman" w:eastAsia="宋体" w:cs="Times New Roman"/>
          <w:b/>
          <w:kern w:val="0"/>
          <w:sz w:val="20"/>
          <w:szCs w:val="20"/>
        </w:rPr>
        <w:t xml:space="preserve"> </w:t>
      </w:r>
      <w:r>
        <w:rPr>
          <w:rFonts w:hint="eastAsia" w:ascii="Times New Roman" w:hAnsi="Times New Roman" w:eastAsia="宋体" w:cs="Times New Roman"/>
          <w:b/>
          <w:kern w:val="0"/>
          <w:sz w:val="20"/>
          <w:szCs w:val="20"/>
        </w:rPr>
        <w:t>Enabling PUCCH repetitions</w:t>
      </w:r>
      <w:r>
        <w:rPr>
          <w:rFonts w:ascii="Times New Roman" w:hAnsi="Times New Roman" w:eastAsia="宋体" w:cs="Times New Roman"/>
          <w:b/>
          <w:kern w:val="0"/>
          <w:sz w:val="20"/>
          <w:szCs w:val="20"/>
        </w:rPr>
        <w:t xml:space="preserve"> can be supported in NTN</w:t>
      </w:r>
      <w:r>
        <w:rPr>
          <w:rFonts w:hint="eastAsia" w:ascii="Times New Roman" w:hAnsi="Times New Roman" w:eastAsia="宋体" w:cs="Times New Roman"/>
          <w:b/>
          <w:kern w:val="0"/>
          <w:sz w:val="20"/>
          <w:szCs w:val="20"/>
        </w:rPr>
        <w:t>, two options can be discussed.</w:t>
      </w:r>
    </w:p>
    <w:p>
      <w:pPr>
        <w:widowControl/>
        <w:numPr>
          <w:ilvl w:val="0"/>
          <w:numId w:val="11"/>
        </w:numPr>
        <w:spacing w:before="0" w:beforeLines="50" w:after="0" w:afterLines="50"/>
        <w:ind w:left="240" w:leftChars="100"/>
        <w:rPr>
          <w:rFonts w:ascii="Times New Roman" w:hAnsi="Times New Roman" w:eastAsia="MS Mincho" w:cs="Times New Roman"/>
          <w:b/>
          <w:bCs/>
          <w:kern w:val="0"/>
          <w:sz w:val="20"/>
          <w:szCs w:val="20"/>
          <w:lang w:eastAsia="en-US"/>
        </w:rPr>
      </w:pPr>
      <w:r>
        <w:rPr>
          <w:rFonts w:ascii="Times New Roman" w:hAnsi="Times New Roman" w:eastAsia="MS Mincho" w:cs="Times New Roman"/>
          <w:b/>
          <w:bCs/>
          <w:kern w:val="0"/>
          <w:sz w:val="20"/>
          <w:szCs w:val="20"/>
          <w:lang w:eastAsia="en-US"/>
        </w:rPr>
        <w:t>Option 1: Reuse mechanism for Msg3 repetition.</w:t>
      </w:r>
    </w:p>
    <w:p>
      <w:pPr>
        <w:widowControl/>
        <w:numPr>
          <w:ilvl w:val="0"/>
          <w:numId w:val="11"/>
        </w:numPr>
        <w:spacing w:before="0" w:beforeLines="50" w:after="0" w:afterLines="50"/>
        <w:ind w:left="240" w:leftChars="100"/>
        <w:rPr>
          <w:rFonts w:ascii="Times New Roman" w:hAnsi="Times New Roman" w:eastAsia="MS Mincho" w:cs="Times New Roman"/>
          <w:b/>
          <w:bCs/>
          <w:kern w:val="0"/>
          <w:sz w:val="20"/>
          <w:szCs w:val="20"/>
          <w:lang w:eastAsia="en-US"/>
        </w:rPr>
      </w:pPr>
      <w:r>
        <w:rPr>
          <w:rFonts w:ascii="Times New Roman" w:hAnsi="Times New Roman" w:eastAsia="MS Mincho" w:cs="Times New Roman"/>
          <w:b/>
          <w:bCs/>
          <w:kern w:val="0"/>
          <w:sz w:val="20"/>
          <w:szCs w:val="20"/>
          <w:lang w:eastAsia="en-US"/>
        </w:rPr>
        <w:t>Option 2: A joint indication for both Msg3 and Msg4 HARQ-ACK repetitions.</w:t>
      </w:r>
    </w:p>
    <w:p>
      <w:pPr>
        <w:widowControl/>
        <w:adjustRightInd/>
        <w:snapToGrid/>
        <w:spacing w:before="0" w:beforeLines="50" w:after="0" w:afterLines="50"/>
        <w:rPr>
          <w:rFonts w:hint="eastAsia" w:ascii="Times New Roman" w:hAnsi="Times New Roman" w:cs="Times New Roman"/>
          <w:b/>
          <w:iCs w:val="0"/>
          <w:sz w:val="20"/>
          <w:szCs w:val="20"/>
        </w:rPr>
      </w:pPr>
      <w:r>
        <w:rPr>
          <w:rFonts w:ascii="Times New Roman" w:hAnsi="Times New Roman" w:eastAsia="MS Mincho" w:cs="Times New Roman"/>
          <w:b/>
          <w:bCs/>
          <w:kern w:val="0"/>
          <w:sz w:val="20"/>
          <w:szCs w:val="20"/>
          <w:lang w:eastAsia="en-US"/>
        </w:rPr>
        <w:t xml:space="preserve">Proposal 2: </w:t>
      </w:r>
      <w:r>
        <w:rPr>
          <w:rFonts w:hint="eastAsia" w:ascii="Times New Roman" w:hAnsi="Times New Roman" w:cs="Times New Roman"/>
          <w:b/>
          <w:kern w:val="0"/>
          <w:sz w:val="20"/>
          <w:szCs w:val="20"/>
        </w:rPr>
        <w:t>D</w:t>
      </w:r>
      <w:r>
        <w:rPr>
          <w:rFonts w:ascii="Times New Roman" w:hAnsi="Times New Roman" w:cs="Times New Roman"/>
          <w:b/>
          <w:kern w:val="0"/>
          <w:sz w:val="20"/>
          <w:szCs w:val="20"/>
        </w:rPr>
        <w:t xml:space="preserve">iscussion about the indication of </w:t>
      </w:r>
      <w:r>
        <w:rPr>
          <w:rFonts w:ascii="Times New Roman" w:hAnsi="Times New Roman" w:cs="Times New Roman"/>
          <w:b/>
          <w:sz w:val="20"/>
          <w:szCs w:val="20"/>
        </w:rPr>
        <w:t>single PUCCH transmission and larger number of transmissions should be deprioritized until the procedure to perform repetitions is confirmed.</w:t>
      </w:r>
    </w:p>
    <w:p>
      <w:pPr>
        <w:adjustRightInd w:val="0"/>
        <w:snapToGrid w:val="0"/>
        <w:spacing w:beforeLines="50" w:afterLines="50"/>
        <w:rPr>
          <w:rFonts w:ascii="Times New Roman" w:hAnsi="Times New Roman" w:cs="Times New Roman"/>
          <w:sz w:val="20"/>
          <w:szCs w:val="20"/>
        </w:rPr>
      </w:pPr>
      <w:r>
        <w:rPr>
          <w:rFonts w:hint="eastAsia" w:ascii="Times New Roman" w:hAnsi="Times New Roman" w:cs="Times New Roman"/>
          <w:b/>
          <w:iCs/>
          <w:sz w:val="20"/>
          <w:szCs w:val="20"/>
        </w:rPr>
        <w:t xml:space="preserve">Proposal </w:t>
      </w:r>
      <w:r>
        <w:rPr>
          <w:rFonts w:ascii="Times New Roman" w:hAnsi="Times New Roman" w:cs="Times New Roman"/>
          <w:b/>
          <w:iCs/>
          <w:sz w:val="20"/>
          <w:szCs w:val="20"/>
        </w:rPr>
        <w:t>3</w:t>
      </w:r>
      <w:r>
        <w:rPr>
          <w:rFonts w:hint="eastAsia" w:ascii="Times New Roman" w:hAnsi="Times New Roman" w:cs="Times New Roman"/>
          <w:b/>
          <w:iCs/>
          <w:sz w:val="20"/>
          <w:szCs w:val="20"/>
        </w:rPr>
        <w:t>:</w:t>
      </w:r>
      <w:r>
        <w:rPr>
          <w:rFonts w:ascii="Times New Roman" w:hAnsi="Times New Roman" w:cs="Times New Roman"/>
          <w:b/>
          <w:iCs/>
          <w:sz w:val="20"/>
          <w:szCs w:val="20"/>
        </w:rPr>
        <w:t xml:space="preserve"> For the enhancement of PUSCH DMRS bundling, it is necessary to take timing drift into consideration in NTN scenarios</w:t>
      </w:r>
      <w:r>
        <w:rPr>
          <w:rFonts w:hint="eastAsia" w:ascii="Times New Roman" w:hAnsi="Times New Roman" w:cs="Times New Roman"/>
          <w:b/>
          <w:iCs/>
          <w:sz w:val="20"/>
          <w:szCs w:val="20"/>
        </w:rPr>
        <w:t>.</w:t>
      </w:r>
    </w:p>
    <w:p>
      <w:pPr>
        <w:spacing w:beforeLines="50" w:afterLines="50"/>
        <w:rPr>
          <w:rFonts w:ascii="Times New Roman" w:hAnsi="Times New Roman" w:cs="Times New Roman"/>
          <w:b/>
          <w:bCs/>
          <w:sz w:val="20"/>
          <w:szCs w:val="20"/>
          <w:highlight w:val="none"/>
        </w:rPr>
      </w:pPr>
      <w:r>
        <w:rPr>
          <w:rFonts w:hint="eastAsia" w:ascii="Times New Roman" w:hAnsi="Times New Roman" w:cs="Times New Roman"/>
          <w:b/>
          <w:bCs/>
          <w:sz w:val="20"/>
          <w:szCs w:val="20"/>
          <w:highlight w:val="none"/>
        </w:rPr>
        <w:t xml:space="preserve">Proposal </w:t>
      </w:r>
      <w:r>
        <w:rPr>
          <w:rFonts w:ascii="Times New Roman" w:hAnsi="Times New Roman" w:cs="Times New Roman"/>
          <w:b/>
          <w:bCs/>
          <w:sz w:val="20"/>
          <w:szCs w:val="20"/>
          <w:highlight w:val="none"/>
        </w:rPr>
        <w:t>4</w:t>
      </w:r>
      <w:r>
        <w:rPr>
          <w:rFonts w:hint="eastAsia" w:ascii="Times New Roman" w:hAnsi="Times New Roman" w:cs="Times New Roman"/>
          <w:b/>
          <w:bCs/>
          <w:sz w:val="20"/>
          <w:szCs w:val="20"/>
          <w:highlight w:val="none"/>
        </w:rPr>
        <w:t>:</w:t>
      </w:r>
      <w:r>
        <w:rPr>
          <w:rFonts w:ascii="Times New Roman" w:hAnsi="Times New Roman" w:cs="Times New Roman"/>
          <w:b/>
          <w:bCs/>
          <w:sz w:val="20"/>
          <w:szCs w:val="20"/>
          <w:highlight w:val="none"/>
        </w:rPr>
        <w:t xml:space="preserve"> </w:t>
      </w:r>
      <w:r>
        <w:rPr>
          <w:rFonts w:hint="eastAsia" w:ascii="Times New Roman" w:hAnsi="Times New Roman" w:cs="Times New Roman"/>
          <w:b/>
          <w:bCs/>
          <w:sz w:val="20"/>
          <w:szCs w:val="20"/>
          <w:highlight w:val="none"/>
        </w:rPr>
        <w:t xml:space="preserve">Study the restriction and influence between DMRS bundling and </w:t>
      </w:r>
      <w:r>
        <w:rPr>
          <w:rFonts w:ascii="Times New Roman" w:hAnsi="Times New Roman" w:cs="Times New Roman"/>
          <w:b/>
          <w:bCs/>
          <w:sz w:val="20"/>
          <w:szCs w:val="20"/>
          <w:highlight w:val="none"/>
        </w:rPr>
        <w:t>time and frequency pre-compensation</w:t>
      </w:r>
      <w:r>
        <w:rPr>
          <w:rFonts w:hint="eastAsia" w:ascii="Times New Roman" w:hAnsi="Times New Roman" w:cs="Times New Roman"/>
          <w:b/>
          <w:bCs/>
          <w:sz w:val="20"/>
          <w:szCs w:val="20"/>
          <w:highlight w:val="none"/>
        </w:rPr>
        <w:t>.</w:t>
      </w:r>
    </w:p>
    <w:p>
      <w:pPr>
        <w:spacing w:before="120" w:beforeLines="50" w:after="120" w:afterLines="50"/>
        <w:rPr>
          <w:rFonts w:ascii="Times New Roman" w:hAnsi="Times New Roman" w:cs="Times New Roman"/>
          <w:b/>
          <w:iCs/>
          <w:sz w:val="20"/>
          <w:szCs w:val="20"/>
        </w:rPr>
      </w:pPr>
    </w:p>
    <w:p>
      <w:pPr>
        <w:spacing w:before="120" w:beforeLines="50" w:after="120" w:afterLines="50"/>
        <w:rPr>
          <w:rFonts w:ascii="Times New Roman" w:hAnsi="Times New Roman" w:cs="Times New Roman"/>
          <w:b/>
          <w:iCs/>
          <w:sz w:val="20"/>
          <w:szCs w:val="20"/>
        </w:rPr>
      </w:pPr>
    </w:p>
    <w:p>
      <w:pPr>
        <w:pStyle w:val="2"/>
        <w:numPr>
          <w:ilvl w:val="0"/>
          <w:numId w:val="10"/>
        </w:numPr>
        <w:pBdr>
          <w:top w:val="single" w:color="auto" w:sz="8" w:space="1"/>
          <w:left w:val="none" w:color="auto" w:sz="0" w:space="4"/>
          <w:bottom w:val="none" w:color="auto" w:sz="0" w:space="1"/>
          <w:right w:val="none" w:color="auto" w:sz="0" w:space="4"/>
        </w:pBdr>
        <w:spacing w:before="240" w:beforeLines="0" w:after="180" w:afterLines="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4"/>
        </w:numPr>
        <w:spacing w:before="120" w:after="120"/>
        <w:ind w:firstLineChars="0"/>
        <w:rPr>
          <w:rFonts w:cs="Times New Roman"/>
          <w:sz w:val="20"/>
          <w:szCs w:val="20"/>
        </w:rPr>
      </w:pPr>
      <w:bookmarkStart w:id="5" w:name="_Ref83712416"/>
      <w:bookmarkStart w:id="6" w:name="_Ref505807368"/>
      <w:bookmarkStart w:id="7" w:name="_Ref86784880"/>
      <w:bookmarkStart w:id="8" w:name="_Ref53511278"/>
      <w:bookmarkStart w:id="9" w:name="_Ref78875676"/>
      <w:bookmarkStart w:id="10" w:name="_Ref533782101"/>
      <w:bookmarkStart w:id="11" w:name="_Ref30757894"/>
      <w:bookmarkStart w:id="12" w:name="_Ref521162878"/>
      <w:bookmarkStart w:id="13" w:name="_Ref71203205"/>
      <w:bookmarkStart w:id="14" w:name="_Ref521313643"/>
      <w:bookmarkStart w:id="15" w:name="_Ref505867252"/>
      <w:bookmarkStart w:id="16" w:name="_Ref60817485"/>
      <w:bookmarkStart w:id="17" w:name="_Ref23496549"/>
      <w:bookmarkStart w:id="18" w:name="_Ref53491160"/>
      <w:r>
        <w:rPr>
          <w:rFonts w:hint="eastAsia" w:cs="Times New Roman"/>
          <w:sz w:val="20"/>
          <w:szCs w:val="20"/>
        </w:rPr>
        <w:t>RP-2</w:t>
      </w:r>
      <w:r>
        <w:rPr>
          <w:rFonts w:cs="Times New Roman"/>
          <w:sz w:val="20"/>
          <w:szCs w:val="20"/>
        </w:rPr>
        <w:t>22654</w:t>
      </w:r>
      <w:r>
        <w:rPr>
          <w:rFonts w:hint="eastAsia" w:cs="Times New Roman"/>
          <w:sz w:val="20"/>
          <w:szCs w:val="20"/>
        </w:rPr>
        <w:t>, Revised WID:</w:t>
      </w:r>
      <w:r>
        <w:rPr>
          <w:rFonts w:cs="Times New Roman"/>
          <w:sz w:val="20"/>
          <w:szCs w:val="20"/>
        </w:rPr>
        <w:t xml:space="preserve"> </w:t>
      </w:r>
      <w:r>
        <w:rPr>
          <w:rFonts w:hint="eastAsia" w:cs="Times New Roman"/>
          <w:sz w:val="20"/>
          <w:szCs w:val="20"/>
        </w:rPr>
        <w:t>NR NTN (Non-Terrestrial Networks) enhancements, RAN#</w:t>
      </w:r>
      <w:r>
        <w:rPr>
          <w:rFonts w:cs="Times New Roman"/>
          <w:sz w:val="20"/>
          <w:szCs w:val="20"/>
        </w:rPr>
        <w:t>97.</w:t>
      </w:r>
      <w:r>
        <w:rPr>
          <w:rFonts w:hint="eastAsia" w:cs="Times New Roman"/>
          <w:sz w:val="20"/>
          <w:szCs w:val="20"/>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numPr>
          <w:ilvl w:val="0"/>
          <w:numId w:val="15"/>
        </w:numPr>
        <w:tabs>
          <w:tab w:val="left" w:pos="420"/>
        </w:tabs>
        <w:spacing w:before="120" w:after="120"/>
        <w:ind w:firstLineChars="0"/>
        <w:rPr>
          <w:rFonts w:cs="Times New Roman"/>
          <w:sz w:val="20"/>
          <w:szCs w:val="20"/>
        </w:rPr>
      </w:pPr>
      <w:r>
        <w:rPr>
          <w:rFonts w:hint="eastAsia" w:cs="Times New Roman"/>
          <w:sz w:val="20"/>
          <w:szCs w:val="20"/>
        </w:rPr>
        <w:t>Chairman's Notes RAN1#110</w:t>
      </w:r>
      <w:r>
        <w:rPr>
          <w:rFonts w:cs="Times New Roman"/>
          <w:sz w:val="20"/>
          <w:szCs w:val="20"/>
        </w:rPr>
        <w:t>bis-e</w:t>
      </w:r>
      <w:r>
        <w:rPr>
          <w:rFonts w:hint="eastAsia" w:cs="Times New Roman"/>
          <w:sz w:val="20"/>
          <w:szCs w:val="20"/>
        </w:rPr>
        <w:t xml:space="preserve">. </w:t>
      </w:r>
    </w:p>
    <w:p>
      <w:pPr>
        <w:pStyle w:val="112"/>
        <w:numPr>
          <w:ilvl w:val="0"/>
          <w:numId w:val="15"/>
        </w:numPr>
        <w:tabs>
          <w:tab w:val="left" w:pos="420"/>
        </w:tabs>
        <w:spacing w:before="120" w:after="120"/>
        <w:ind w:firstLineChars="0"/>
        <w:rPr>
          <w:rFonts w:cs="Times New Roman"/>
          <w:sz w:val="20"/>
          <w:szCs w:val="20"/>
        </w:rPr>
      </w:pPr>
      <w:r>
        <w:rPr>
          <w:rFonts w:hint="eastAsia" w:cs="Times New Roman"/>
          <w:sz w:val="20"/>
          <w:szCs w:val="20"/>
        </w:rPr>
        <w:t>TS 38.133, Requirements for support of radio resource management.</w:t>
      </w:r>
    </w:p>
    <w:p>
      <w:pPr>
        <w:pStyle w:val="112"/>
        <w:spacing w:before="120" w:after="120"/>
        <w:ind w:firstLine="0" w:firstLineChars="0"/>
        <w:rPr>
          <w:rFonts w:cs="Times New Roman"/>
          <w:sz w:val="20"/>
          <w:szCs w:val="20"/>
        </w:rPr>
      </w:pPr>
    </w:p>
    <w:sectPr>
      <w:footerReference r:id="rId3" w:type="default"/>
      <w:pgSz w:w="12240" w:h="15840"/>
      <w:pgMar w:top="1417"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1</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6</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hanging="420"/>
      </w:pPr>
      <w:rPr>
        <w:rFonts w:hint="default" w:ascii="Wingdings" w:hAnsi="Wingdings"/>
        <w:sz w:val="15"/>
        <w:szCs w:val="15"/>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7">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8">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EFC5941"/>
    <w:multiLevelType w:val="singleLevel"/>
    <w:tmpl w:val="5EFC5941"/>
    <w:lvl w:ilvl="0" w:tentative="0">
      <w:start w:val="1"/>
      <w:numFmt w:val="bullet"/>
      <w:lvlText w:val="○"/>
      <w:lvlJc w:val="left"/>
      <w:pPr>
        <w:ind w:left="420" w:hanging="420"/>
      </w:pPr>
      <w:rPr>
        <w:rFonts w:hint="default" w:ascii="微软雅黑" w:hAnsi="微软雅黑" w:eastAsia="微软雅黑" w:cs="Segoe Print"/>
      </w:rPr>
    </w:lvl>
  </w:abstractNum>
  <w:abstractNum w:abstractNumId="12">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3">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0"/>
  </w:num>
  <w:num w:numId="3">
    <w:abstractNumId w:val="1"/>
  </w:num>
  <w:num w:numId="4">
    <w:abstractNumId w:val="6"/>
  </w:num>
  <w:num w:numId="5">
    <w:abstractNumId w:val="12"/>
  </w:num>
  <w:num w:numId="6">
    <w:abstractNumId w:val="13"/>
  </w:num>
  <w:num w:numId="7">
    <w:abstractNumId w:val="7"/>
    <w:lvlOverride w:ilvl="0">
      <w:startOverride w:val="1"/>
    </w:lvlOverride>
  </w:num>
  <w:num w:numId="8">
    <w:abstractNumId w:val="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
  </w:num>
  <w:num w:numId="12">
    <w:abstractNumId w:val="11"/>
  </w:num>
  <w:num w:numId="13">
    <w:abstractNumId w:val="3"/>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6F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5C5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B3401D"/>
    <w:rsid w:val="06CD3AE3"/>
    <w:rsid w:val="078428D6"/>
    <w:rsid w:val="09310529"/>
    <w:rsid w:val="0A6A531A"/>
    <w:rsid w:val="0ED427EC"/>
    <w:rsid w:val="12976D2A"/>
    <w:rsid w:val="1320158C"/>
    <w:rsid w:val="14580F4C"/>
    <w:rsid w:val="166A456C"/>
    <w:rsid w:val="18D46101"/>
    <w:rsid w:val="1A3B0B18"/>
    <w:rsid w:val="1CC87E89"/>
    <w:rsid w:val="1D1065FC"/>
    <w:rsid w:val="1D663B0E"/>
    <w:rsid w:val="2A520582"/>
    <w:rsid w:val="2CE30911"/>
    <w:rsid w:val="2FD007E0"/>
    <w:rsid w:val="353C0870"/>
    <w:rsid w:val="37A45E5B"/>
    <w:rsid w:val="3F095E9D"/>
    <w:rsid w:val="41CA3534"/>
    <w:rsid w:val="42933550"/>
    <w:rsid w:val="4431391D"/>
    <w:rsid w:val="47A82984"/>
    <w:rsid w:val="4CF82E4F"/>
    <w:rsid w:val="522F417F"/>
    <w:rsid w:val="53D8539B"/>
    <w:rsid w:val="55086A86"/>
    <w:rsid w:val="587B2CB1"/>
    <w:rsid w:val="59DA7990"/>
    <w:rsid w:val="5BE43781"/>
    <w:rsid w:val="5C0F220F"/>
    <w:rsid w:val="5EB95666"/>
    <w:rsid w:val="62665E83"/>
    <w:rsid w:val="6760517B"/>
    <w:rsid w:val="68FA6D78"/>
    <w:rsid w:val="6CEA5C83"/>
    <w:rsid w:val="70F61E69"/>
    <w:rsid w:val="71CF50AA"/>
    <w:rsid w:val="72A33F0D"/>
    <w:rsid w:val="72AE5ABD"/>
    <w:rsid w:val="7469583A"/>
    <w:rsid w:val="797F2A93"/>
    <w:rsid w:val="7B252B0C"/>
    <w:rsid w:val="7C0F23D9"/>
    <w:rsid w:val="7E054D42"/>
    <w:rsid w:val="7E431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出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2605</Words>
  <Characters>14850</Characters>
  <Lines>123</Lines>
  <Paragraphs>34</Paragraphs>
  <TotalTime>547</TotalTime>
  <ScaleCrop>false</ScaleCrop>
  <LinksUpToDate>false</LinksUpToDate>
  <CharactersWithSpaces>17421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2022-11-07T07:53:37Z</dcterms:modified>
  <cp:revision>2477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E9FE5C53CFD44318AFD6FE6CAA790BFF</vt:lpwstr>
  </property>
</Properties>
</file>